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Cs w:val="28"/>
        </w:rPr>
        <w:t>使用说明书</w:t>
      </w:r>
    </w:p>
    <w:p>
      <w:pPr>
        <w:spacing w:line="360" w:lineRule="exact"/>
        <w:jc w:val="center"/>
        <w:rPr>
          <w:rFonts w:hint="eastAsia" w:ascii="黑体" w:hAnsi="黑体" w:eastAsia="黑体"/>
          <w:sz w:val="24"/>
        </w:rPr>
      </w:pPr>
      <w:r>
        <w:rPr>
          <w:rFonts w:hint="eastAsia" w:ascii="黑体" w:hAnsi="黑体" w:eastAsia="黑体"/>
          <w:spacing w:val="75"/>
          <w:kern w:val="0"/>
          <w:sz w:val="24"/>
          <w:fitText w:val="4440" w:id="1086866443"/>
        </w:rPr>
        <w:t>LXSY-15～25</w:t>
      </w:r>
      <w:r>
        <w:rPr>
          <w:rFonts w:hint="eastAsia" w:ascii="黑体" w:hAnsi="黑体" w:eastAsia="黑体"/>
          <w:spacing w:val="75"/>
          <w:kern w:val="0"/>
          <w:sz w:val="24"/>
          <w:fitText w:val="4440" w:id="1086866443"/>
          <w:lang w:val="en-US" w:eastAsia="zh-CN"/>
        </w:rPr>
        <w:t>带阀</w:t>
      </w:r>
      <w:r>
        <w:rPr>
          <w:rFonts w:hint="eastAsia" w:ascii="黑体" w:hAnsi="黑体" w:eastAsia="黑体"/>
          <w:spacing w:val="75"/>
          <w:kern w:val="0"/>
          <w:sz w:val="24"/>
          <w:fitText w:val="4440" w:id="1086866443"/>
        </w:rPr>
        <w:t>远传水</w:t>
      </w:r>
      <w:r>
        <w:rPr>
          <w:rFonts w:hint="eastAsia" w:ascii="黑体" w:hAnsi="黑体" w:eastAsia="黑体"/>
          <w:spacing w:val="3"/>
          <w:kern w:val="0"/>
          <w:sz w:val="24"/>
          <w:fitText w:val="4440" w:id="1086866443"/>
        </w:rPr>
        <w:t>表</w:t>
      </w:r>
    </w:p>
    <w:p>
      <w:pPr>
        <w:pStyle w:val="14"/>
        <w:spacing w:before="0" w:line="0" w:lineRule="atLeast"/>
        <w:ind w:right="629"/>
        <w:jc w:val="center"/>
        <w:rPr>
          <w:rFonts w:hint="eastAsia"/>
          <w:kern w:val="2"/>
          <w:sz w:val="15"/>
        </w:rPr>
      </w:pPr>
    </w:p>
    <w:p>
      <w:pPr>
        <w:spacing w:line="360" w:lineRule="exact"/>
        <w:ind w:right="279" w:firstLine="1110" w:firstLineChars="395"/>
        <w:rPr>
          <w:rFonts w:hint="eastAsia" w:ascii="仿宋_GB2312" w:eastAsia="仿宋_GB2312"/>
          <w:b/>
          <w:sz w:val="18"/>
          <w:szCs w:val="18"/>
        </w:rPr>
      </w:pPr>
      <w:r>
        <w:rPr>
          <w:rFonts w:hint="eastAsia" w:ascii="黑体" w:eastAsia="黑体"/>
          <w:b/>
          <w:szCs w:val="28"/>
        </w:rPr>
        <w:t xml:space="preserve">           </w:t>
      </w:r>
    </w:p>
    <w:p>
      <w:pPr>
        <w:spacing w:line="0" w:lineRule="atLeast"/>
        <w:rPr>
          <w:rFonts w:hint="eastAsia" w:ascii="宋体" w:hAnsi="宋体"/>
          <w:b/>
          <w:sz w:val="15"/>
          <w:szCs w:val="15"/>
        </w:rPr>
      </w:pPr>
      <w:r>
        <w:rPr>
          <w:rFonts w:hint="eastAsia" w:ascii="宋体" w:hAnsi="宋体"/>
          <w:b/>
          <w:sz w:val="15"/>
          <w:szCs w:val="15"/>
        </w:rPr>
        <w:t>执行标准： GB/T 778-2007、CJ/T 224-2012、 CJ/T 188-2004。</w:t>
      </w:r>
    </w:p>
    <w:p>
      <w:pPr>
        <w:spacing w:line="280" w:lineRule="exact"/>
        <w:rPr>
          <w:rFonts w:hint="eastAsia" w:ascii="宋体" w:hAnsi="宋体"/>
          <w:sz w:val="15"/>
          <w:szCs w:val="15"/>
        </w:rPr>
      </w:pPr>
      <w:r>
        <w:rPr>
          <w:rFonts w:hint="eastAsia" w:ascii="黑体" w:hAnsi="宋体" w:eastAsia="黑体"/>
          <w:b/>
          <w:sz w:val="15"/>
          <w:szCs w:val="15"/>
        </w:rPr>
        <w:t>1  用途：</w:t>
      </w:r>
      <w:r>
        <w:rPr>
          <w:rFonts w:hint="eastAsia" w:ascii="宋体" w:hAnsi="宋体"/>
          <w:sz w:val="15"/>
          <w:szCs w:val="15"/>
        </w:rPr>
        <w:t>用来计量及控制流经自来水管道饮用冷水的体积总量。</w:t>
      </w:r>
    </w:p>
    <w:p>
      <w:pPr>
        <w:pStyle w:val="4"/>
        <w:spacing w:line="280" w:lineRule="exact"/>
        <w:rPr>
          <w:rFonts w:hint="eastAsia" w:ascii="宋体" w:hAnsi="宋体"/>
          <w:b/>
          <w:sz w:val="15"/>
          <w:szCs w:val="15"/>
        </w:rPr>
      </w:pPr>
      <w:r>
        <w:rPr>
          <w:rFonts w:hint="eastAsia" w:ascii="宋体" w:hAnsi="宋体"/>
          <w:b/>
          <w:sz w:val="15"/>
          <w:szCs w:val="15"/>
        </w:rPr>
        <w:t>2  功能</w:t>
      </w:r>
    </w:p>
    <w:p>
      <w:pPr>
        <w:pStyle w:val="4"/>
        <w:spacing w:line="280" w:lineRule="exact"/>
        <w:rPr>
          <w:rFonts w:hint="eastAsia" w:ascii="宋体" w:hAnsi="宋体"/>
          <w:sz w:val="15"/>
          <w:szCs w:val="15"/>
        </w:rPr>
      </w:pPr>
      <w:r>
        <w:rPr>
          <w:rFonts w:hint="eastAsia" w:ascii="宋体" w:hAnsi="宋体"/>
          <w:sz w:val="15"/>
          <w:szCs w:val="15"/>
        </w:rPr>
        <w:t>2.1平时无需电源，直读装置只在抄表瞬间加电工作，电子部分与表计机械部分不直接接触，不影响表计计量。</w:t>
      </w:r>
    </w:p>
    <w:p>
      <w:pPr>
        <w:pStyle w:val="4"/>
        <w:spacing w:line="280" w:lineRule="exact"/>
        <w:rPr>
          <w:rFonts w:hint="eastAsia" w:ascii="宋体" w:hAnsi="宋体"/>
          <w:sz w:val="15"/>
          <w:szCs w:val="15"/>
        </w:rPr>
      </w:pPr>
      <w:r>
        <w:rPr>
          <w:rFonts w:hint="eastAsia" w:ascii="宋体" w:hAnsi="宋体"/>
          <w:sz w:val="15"/>
          <w:szCs w:val="15"/>
        </w:rPr>
        <w:t>2.2不改变机械计量的显示方式，便于用户直观的核查用水量；光电直接读取表计窗口值，计量准确。</w:t>
      </w:r>
    </w:p>
    <w:p>
      <w:pPr>
        <w:pStyle w:val="4"/>
        <w:spacing w:line="280" w:lineRule="exact"/>
        <w:rPr>
          <w:rFonts w:hint="eastAsia" w:ascii="宋体" w:hAnsi="宋体"/>
          <w:sz w:val="15"/>
          <w:szCs w:val="15"/>
        </w:rPr>
      </w:pPr>
      <w:r>
        <w:rPr>
          <w:rFonts w:hint="eastAsia" w:ascii="宋体" w:hAnsi="宋体"/>
          <w:sz w:val="15"/>
          <w:szCs w:val="15"/>
        </w:rPr>
        <w:t>2.3电脑远程自动抄表。</w:t>
      </w:r>
    </w:p>
    <w:p>
      <w:pPr>
        <w:pStyle w:val="4"/>
        <w:spacing w:line="280" w:lineRule="exact"/>
        <w:rPr>
          <w:rFonts w:hint="eastAsia" w:ascii="宋体" w:hAnsi="宋体"/>
          <w:sz w:val="15"/>
          <w:szCs w:val="15"/>
        </w:rPr>
      </w:pPr>
      <w:r>
        <w:rPr>
          <w:rFonts w:hint="eastAsia" w:ascii="宋体" w:hAnsi="宋体"/>
          <w:sz w:val="15"/>
          <w:szCs w:val="15"/>
        </w:rPr>
        <w:t>2.4光电直读可控阀式网络水表除上述功能外还可实时进行阀门控制，可方便实现预收费功能。</w:t>
      </w:r>
    </w:p>
    <w:p>
      <w:pPr>
        <w:spacing w:line="0" w:lineRule="atLeast"/>
        <w:rPr>
          <w:rFonts w:hint="eastAsia" w:ascii="宋体" w:hAnsi="宋体"/>
          <w:b/>
          <w:sz w:val="15"/>
          <w:szCs w:val="15"/>
        </w:rPr>
      </w:pPr>
      <w:r>
        <w:rPr>
          <w:rFonts w:hint="eastAsia" w:ascii="宋体" w:hAnsi="宋体"/>
          <w:b/>
          <w:sz w:val="15"/>
          <w:szCs w:val="15"/>
        </w:rPr>
        <w:t>3主要技术参数</w:t>
      </w:r>
    </w:p>
    <w:p>
      <w:pPr>
        <w:pStyle w:val="4"/>
        <w:spacing w:line="280" w:lineRule="exact"/>
        <w:rPr>
          <w:rFonts w:hint="eastAsia" w:ascii="宋体" w:hAnsi="宋体"/>
          <w:sz w:val="15"/>
          <w:szCs w:val="15"/>
        </w:rPr>
      </w:pPr>
      <w:r>
        <w:rPr>
          <w:rFonts w:hint="eastAsia" w:ascii="宋体" w:hAnsi="宋体"/>
          <w:sz w:val="15"/>
          <w:szCs w:val="15"/>
        </w:rPr>
        <w:t>3.1 最大允许工作压力：等于1.0MPa。</w:t>
      </w:r>
    </w:p>
    <w:p>
      <w:pPr>
        <w:pStyle w:val="4"/>
        <w:spacing w:line="280" w:lineRule="exact"/>
        <w:rPr>
          <w:rFonts w:hint="eastAsia" w:ascii="宋体" w:hAnsi="宋体"/>
          <w:sz w:val="15"/>
          <w:szCs w:val="15"/>
        </w:rPr>
      </w:pPr>
      <w:r>
        <w:rPr>
          <w:rFonts w:hint="eastAsia" w:ascii="宋体" w:hAnsi="宋体"/>
          <w:sz w:val="15"/>
          <w:szCs w:val="15"/>
        </w:rPr>
        <w:t>3.2 最高允许工作温度：等于30℃。</w:t>
      </w:r>
    </w:p>
    <w:p>
      <w:pPr>
        <w:pStyle w:val="4"/>
        <w:spacing w:line="280" w:lineRule="exact"/>
        <w:rPr>
          <w:rFonts w:hint="eastAsia" w:ascii="宋体" w:hAnsi="宋体"/>
          <w:sz w:val="15"/>
          <w:szCs w:val="15"/>
        </w:rPr>
      </w:pPr>
      <w:r>
        <w:rPr>
          <w:rFonts w:hint="eastAsia" w:ascii="宋体" w:hAnsi="宋体"/>
          <w:sz w:val="15"/>
          <w:szCs w:val="15"/>
        </w:rPr>
        <w:t>3.3 计量特性</w:t>
      </w:r>
    </w:p>
    <w:p>
      <w:pPr>
        <w:pStyle w:val="4"/>
        <w:spacing w:line="280" w:lineRule="exact"/>
        <w:rPr>
          <w:rFonts w:hint="eastAsia" w:ascii="宋体" w:hAnsi="宋体"/>
          <w:sz w:val="15"/>
          <w:szCs w:val="15"/>
        </w:rPr>
      </w:pPr>
      <w:r>
        <w:rPr>
          <w:rFonts w:hint="eastAsia" w:ascii="宋体" w:hAnsi="宋体"/>
          <w:sz w:val="15"/>
          <w:szCs w:val="15"/>
        </w:rPr>
        <w:t>3.3.1  2级水表（准确度等级为2级）</w:t>
      </w:r>
    </w:p>
    <w:p>
      <w:pPr>
        <w:pStyle w:val="4"/>
        <w:spacing w:line="280" w:lineRule="exact"/>
        <w:rPr>
          <w:rFonts w:hint="eastAsia" w:ascii="宋体" w:hAnsi="宋体"/>
          <w:sz w:val="15"/>
          <w:szCs w:val="15"/>
        </w:rPr>
      </w:pPr>
      <w:r>
        <w:rPr>
          <w:rFonts w:hint="eastAsia" w:ascii="宋体" w:hAnsi="宋体"/>
          <w:sz w:val="15"/>
          <w:szCs w:val="15"/>
        </w:rPr>
        <w:t>3.3.2  水温0.1℃至30℃范围内, 水表的最大允许误差在高区(Q</w:t>
      </w:r>
      <w:r>
        <w:rPr>
          <w:rFonts w:hint="eastAsia" w:ascii="宋体" w:hAnsi="宋体"/>
          <w:sz w:val="21"/>
          <w:szCs w:val="21"/>
          <w:vertAlign w:val="subscript"/>
        </w:rPr>
        <w:t>2</w:t>
      </w:r>
      <w:r>
        <w:rPr>
          <w:rFonts w:hint="eastAsia" w:ascii="宋体" w:hAnsi="宋体"/>
          <w:sz w:val="15"/>
          <w:szCs w:val="15"/>
        </w:rPr>
        <w:t>≤Q≤Q</w:t>
      </w:r>
      <w:r>
        <w:rPr>
          <w:rFonts w:hint="eastAsia" w:ascii="宋体" w:hAnsi="宋体"/>
          <w:sz w:val="21"/>
          <w:szCs w:val="21"/>
          <w:vertAlign w:val="subscript"/>
        </w:rPr>
        <w:t>4</w:t>
      </w:r>
      <w:r>
        <w:rPr>
          <w:rFonts w:hint="eastAsia" w:ascii="宋体" w:hAnsi="宋体"/>
          <w:sz w:val="15"/>
          <w:szCs w:val="15"/>
        </w:rPr>
        <w:t>)为±2%，低区（Q</w:t>
      </w:r>
      <w:r>
        <w:rPr>
          <w:rFonts w:hint="eastAsia" w:ascii="宋体" w:hAnsi="宋体"/>
          <w:sz w:val="21"/>
          <w:szCs w:val="21"/>
          <w:vertAlign w:val="subscript"/>
        </w:rPr>
        <w:t>1</w:t>
      </w:r>
      <w:r>
        <w:rPr>
          <w:rFonts w:hint="eastAsia" w:ascii="宋体" w:hAnsi="宋体"/>
          <w:sz w:val="15"/>
          <w:szCs w:val="15"/>
        </w:rPr>
        <w:t>≤Q＜Q</w:t>
      </w:r>
      <w:r>
        <w:rPr>
          <w:rFonts w:hint="eastAsia" w:ascii="宋体" w:hAnsi="宋体"/>
          <w:sz w:val="21"/>
          <w:szCs w:val="21"/>
          <w:vertAlign w:val="subscript"/>
        </w:rPr>
        <w:t>2</w:t>
      </w:r>
      <w:r>
        <w:rPr>
          <w:rFonts w:hint="eastAsia" w:ascii="宋体" w:hAnsi="宋体"/>
          <w:sz w:val="15"/>
          <w:szCs w:val="15"/>
        </w:rPr>
        <w:t>）为±5%。</w:t>
      </w:r>
    </w:p>
    <w:p>
      <w:pPr>
        <w:spacing w:line="280" w:lineRule="exact"/>
        <w:rPr>
          <w:rFonts w:hint="eastAsia" w:ascii="宋体" w:hAnsi="宋体"/>
          <w:sz w:val="15"/>
          <w:szCs w:val="15"/>
        </w:rPr>
      </w:pPr>
      <w:r>
        <w:rPr>
          <w:rFonts w:hint="eastAsia" w:ascii="宋体" w:hAnsi="宋体"/>
          <w:sz w:val="15"/>
          <w:szCs w:val="15"/>
        </w:rPr>
        <w:t>3.4 机械参数：</w:t>
      </w:r>
    </w:p>
    <w:tbl>
      <w:tblPr>
        <w:tblStyle w:val="9"/>
        <w:tblpPr w:leftFromText="180" w:rightFromText="180" w:vertAnchor="text" w:horzAnchor="margin" w:tblpXSpec="center" w:tblpY="181"/>
        <w:tblW w:w="368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1068"/>
        <w:gridCol w:w="1680"/>
        <w:gridCol w:w="1265"/>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570" w:type="pct"/>
            <w:vMerge w:val="restar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公称口径</w:t>
            </w:r>
          </w:p>
          <w:p>
            <w:pPr>
              <w:jc w:val="center"/>
              <w:rPr>
                <w:rFonts w:hint="eastAsia" w:ascii="宋体" w:hAnsi="宋体"/>
                <w:spacing w:val="-16"/>
                <w:sz w:val="18"/>
                <w:szCs w:val="18"/>
              </w:rPr>
            </w:pPr>
            <w:r>
              <w:rPr>
                <w:rFonts w:hint="eastAsia" w:ascii="宋体" w:hAnsi="宋体"/>
                <w:spacing w:val="-16"/>
                <w:sz w:val="18"/>
                <w:szCs w:val="18"/>
              </w:rPr>
              <w:t xml:space="preserve"> DN（mm）</w:t>
            </w:r>
          </w:p>
        </w:tc>
        <w:tc>
          <w:tcPr>
            <w:tcW w:w="733" w:type="pct"/>
            <w:vMerge w:val="restart"/>
            <w:shd w:val="clear" w:color="auto" w:fill="auto"/>
            <w:noWrap w:val="0"/>
            <w:vAlign w:val="center"/>
          </w:tcPr>
          <w:p>
            <w:pPr>
              <w:jc w:val="center"/>
              <w:rPr>
                <w:rFonts w:ascii="宋体" w:hAnsi="宋体"/>
                <w:spacing w:val="-16"/>
                <w:sz w:val="18"/>
                <w:szCs w:val="18"/>
              </w:rPr>
            </w:pPr>
            <w:r>
              <w:rPr>
                <w:rFonts w:hint="eastAsia" w:ascii="宋体" w:hAnsi="宋体"/>
                <w:spacing w:val="-16"/>
                <w:sz w:val="18"/>
                <w:szCs w:val="18"/>
              </w:rPr>
              <w:t>常用流量(Q</w:t>
            </w:r>
            <w:r>
              <w:rPr>
                <w:rFonts w:hint="eastAsia" w:ascii="宋体" w:hAnsi="宋体"/>
                <w:spacing w:val="-16"/>
                <w:szCs w:val="28"/>
                <w:vertAlign w:val="subscript"/>
              </w:rPr>
              <w:t>3</w:t>
            </w:r>
            <w:r>
              <w:rPr>
                <w:rFonts w:hint="eastAsia" w:ascii="宋体" w:hAnsi="宋体"/>
                <w:spacing w:val="-16"/>
                <w:sz w:val="18"/>
                <w:szCs w:val="18"/>
              </w:rPr>
              <w:t>)</w:t>
            </w:r>
          </w:p>
          <w:p>
            <w:pPr>
              <w:jc w:val="center"/>
              <w:rPr>
                <w:rFonts w:hint="eastAsia" w:ascii="宋体" w:hAnsi="宋体"/>
                <w:spacing w:val="-16"/>
                <w:sz w:val="18"/>
                <w:szCs w:val="18"/>
              </w:rPr>
            </w:pPr>
            <w:r>
              <w:rPr>
                <w:rFonts w:hint="eastAsia" w:ascii="宋体" w:hAnsi="宋体"/>
                <w:spacing w:val="-16"/>
                <w:sz w:val="18"/>
                <w:szCs w:val="18"/>
              </w:rPr>
              <w:t>m</w:t>
            </w:r>
            <w:r>
              <w:rPr>
                <w:rFonts w:hint="eastAsia" w:ascii="宋体" w:hAnsi="宋体"/>
                <w:spacing w:val="-16"/>
                <w:sz w:val="21"/>
                <w:szCs w:val="21"/>
                <w:vertAlign w:val="superscript"/>
              </w:rPr>
              <w:t>3</w:t>
            </w:r>
            <w:r>
              <w:rPr>
                <w:rFonts w:hint="eastAsia" w:ascii="宋体" w:hAnsi="宋体"/>
                <w:spacing w:val="-16"/>
                <w:sz w:val="18"/>
                <w:szCs w:val="18"/>
              </w:rPr>
              <w:t>/h</w:t>
            </w:r>
          </w:p>
        </w:tc>
        <w:tc>
          <w:tcPr>
            <w:tcW w:w="1153"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 xml:space="preserve">分界流量(Q2) </w:t>
            </w:r>
          </w:p>
          <w:p>
            <w:pPr>
              <w:jc w:val="center"/>
              <w:rPr>
                <w:rFonts w:hint="eastAsia" w:ascii="宋体" w:hAnsi="宋体"/>
                <w:spacing w:val="-16"/>
                <w:sz w:val="18"/>
                <w:szCs w:val="18"/>
              </w:rPr>
            </w:pPr>
            <w:r>
              <w:rPr>
                <w:rFonts w:hint="eastAsia" w:ascii="宋体" w:hAnsi="宋体"/>
                <w:spacing w:val="-16"/>
                <w:sz w:val="18"/>
                <w:szCs w:val="18"/>
              </w:rPr>
              <w:t>m</w:t>
            </w:r>
            <w:r>
              <w:rPr>
                <w:rFonts w:hint="eastAsia" w:ascii="宋体" w:hAnsi="宋体"/>
                <w:spacing w:val="-16"/>
                <w:sz w:val="21"/>
                <w:szCs w:val="21"/>
                <w:vertAlign w:val="superscript"/>
              </w:rPr>
              <w:t>3</w:t>
            </w:r>
            <w:r>
              <w:rPr>
                <w:rFonts w:hint="eastAsia" w:ascii="宋体" w:hAnsi="宋体"/>
                <w:spacing w:val="-16"/>
                <w:sz w:val="18"/>
                <w:szCs w:val="18"/>
              </w:rPr>
              <w:t>/h</w:t>
            </w:r>
          </w:p>
        </w:tc>
        <w:tc>
          <w:tcPr>
            <w:tcW w:w="86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 xml:space="preserve">最小流量(Q1) </w:t>
            </w:r>
          </w:p>
          <w:p>
            <w:pPr>
              <w:jc w:val="center"/>
              <w:rPr>
                <w:rFonts w:hint="eastAsia" w:ascii="宋体" w:hAnsi="宋体"/>
                <w:spacing w:val="-16"/>
                <w:sz w:val="18"/>
                <w:szCs w:val="18"/>
              </w:rPr>
            </w:pPr>
            <w:r>
              <w:rPr>
                <w:rFonts w:hint="eastAsia" w:ascii="宋体" w:hAnsi="宋体"/>
                <w:spacing w:val="-16"/>
                <w:sz w:val="18"/>
                <w:szCs w:val="18"/>
              </w:rPr>
              <w:t>m</w:t>
            </w:r>
            <w:r>
              <w:rPr>
                <w:rFonts w:hint="eastAsia" w:ascii="宋体" w:hAnsi="宋体"/>
                <w:spacing w:val="-16"/>
                <w:sz w:val="21"/>
                <w:szCs w:val="21"/>
                <w:vertAlign w:val="superscript"/>
              </w:rPr>
              <w:t>3</w:t>
            </w:r>
            <w:r>
              <w:rPr>
                <w:rFonts w:hint="eastAsia" w:ascii="宋体" w:hAnsi="宋体"/>
                <w:spacing w:val="-16"/>
                <w:sz w:val="18"/>
                <w:szCs w:val="18"/>
              </w:rPr>
              <w:t>/h</w:t>
            </w: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最小读数</w:t>
            </w: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最大读数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 w:hRule="atLeast"/>
        </w:trPr>
        <w:tc>
          <w:tcPr>
            <w:tcW w:w="570" w:type="pct"/>
            <w:vMerge w:val="continue"/>
            <w:shd w:val="clear" w:color="auto" w:fill="auto"/>
            <w:noWrap w:val="0"/>
            <w:vAlign w:val="center"/>
          </w:tcPr>
          <w:p>
            <w:pPr>
              <w:jc w:val="center"/>
              <w:rPr>
                <w:rFonts w:hint="eastAsia" w:ascii="宋体" w:hAnsi="宋体"/>
                <w:spacing w:val="-16"/>
                <w:sz w:val="18"/>
                <w:szCs w:val="18"/>
              </w:rPr>
            </w:pPr>
          </w:p>
        </w:tc>
        <w:tc>
          <w:tcPr>
            <w:tcW w:w="733" w:type="pct"/>
            <w:vMerge w:val="continue"/>
            <w:shd w:val="clear" w:color="auto" w:fill="auto"/>
            <w:noWrap w:val="0"/>
            <w:vAlign w:val="center"/>
          </w:tcPr>
          <w:p>
            <w:pPr>
              <w:jc w:val="center"/>
              <w:rPr>
                <w:rFonts w:hint="eastAsia" w:ascii="宋体" w:hAnsi="宋体"/>
                <w:spacing w:val="-16"/>
                <w:sz w:val="18"/>
                <w:szCs w:val="18"/>
              </w:rPr>
            </w:pPr>
          </w:p>
        </w:tc>
        <w:tc>
          <w:tcPr>
            <w:tcW w:w="2021" w:type="pct"/>
            <w:gridSpan w:val="2"/>
            <w:vMerge w:val="restart"/>
            <w:shd w:val="clear" w:color="auto" w:fill="auto"/>
            <w:noWrap w:val="0"/>
            <w:vAlign w:val="center"/>
          </w:tcPr>
          <w:p>
            <w:pPr>
              <w:jc w:val="center"/>
              <w:rPr>
                <w:rFonts w:hint="eastAsia" w:ascii="宋体" w:hAnsi="宋体"/>
                <w:b/>
                <w:spacing w:val="-16"/>
                <w:sz w:val="18"/>
                <w:szCs w:val="18"/>
              </w:rPr>
            </w:pPr>
            <w:r>
              <w:rPr>
                <w:rFonts w:hint="eastAsia" w:ascii="宋体" w:hAnsi="宋体"/>
                <w:b/>
                <w:spacing w:val="-16"/>
                <w:sz w:val="18"/>
                <w:szCs w:val="18"/>
              </w:rPr>
              <w:t>Q</w:t>
            </w:r>
            <w:r>
              <w:rPr>
                <w:rFonts w:hint="eastAsia" w:ascii="宋体" w:hAnsi="宋体"/>
                <w:b/>
                <w:spacing w:val="-16"/>
                <w:szCs w:val="28"/>
                <w:vertAlign w:val="subscript"/>
              </w:rPr>
              <w:t>3</w:t>
            </w:r>
            <w:r>
              <w:rPr>
                <w:rFonts w:hint="eastAsia" w:ascii="宋体" w:hAnsi="宋体"/>
                <w:b/>
                <w:spacing w:val="-16"/>
                <w:sz w:val="18"/>
                <w:szCs w:val="18"/>
              </w:rPr>
              <w:t>/Q</w:t>
            </w:r>
            <w:r>
              <w:rPr>
                <w:rFonts w:hint="eastAsia" w:ascii="宋体" w:hAnsi="宋体"/>
                <w:b/>
                <w:spacing w:val="-16"/>
                <w:szCs w:val="28"/>
                <w:vertAlign w:val="subscript"/>
              </w:rPr>
              <w:t>1</w:t>
            </w:r>
            <w:r>
              <w:rPr>
                <w:rFonts w:hint="eastAsia" w:ascii="宋体" w:hAnsi="宋体"/>
                <w:b/>
                <w:spacing w:val="-16"/>
                <w:sz w:val="18"/>
                <w:szCs w:val="18"/>
              </w:rPr>
              <w:t>=80、100</w:t>
            </w:r>
          </w:p>
          <w:p>
            <w:pPr>
              <w:ind w:firstLine="149" w:firstLineChars="100"/>
              <w:jc w:val="center"/>
              <w:rPr>
                <w:rFonts w:hint="eastAsia" w:ascii="宋体" w:hAnsi="宋体"/>
                <w:spacing w:val="-16"/>
                <w:sz w:val="18"/>
                <w:szCs w:val="18"/>
              </w:rPr>
            </w:pPr>
            <w:r>
              <w:rPr>
                <w:rFonts w:hint="eastAsia" w:ascii="宋体" w:hAnsi="宋体"/>
                <w:b/>
                <w:spacing w:val="-16"/>
                <w:sz w:val="18"/>
                <w:szCs w:val="18"/>
              </w:rPr>
              <w:t>Q</w:t>
            </w:r>
            <w:r>
              <w:rPr>
                <w:rFonts w:hint="eastAsia" w:ascii="宋体" w:hAnsi="宋体"/>
                <w:b/>
                <w:spacing w:val="-16"/>
                <w:szCs w:val="28"/>
                <w:vertAlign w:val="subscript"/>
              </w:rPr>
              <w:t>2</w:t>
            </w:r>
            <w:r>
              <w:rPr>
                <w:rFonts w:hint="eastAsia" w:ascii="宋体" w:hAnsi="宋体"/>
                <w:b/>
                <w:spacing w:val="-16"/>
                <w:sz w:val="18"/>
                <w:szCs w:val="18"/>
              </w:rPr>
              <w:t>/Q</w:t>
            </w:r>
            <w:r>
              <w:rPr>
                <w:rFonts w:hint="eastAsia" w:ascii="宋体" w:hAnsi="宋体"/>
                <w:b/>
                <w:spacing w:val="-16"/>
                <w:szCs w:val="28"/>
                <w:vertAlign w:val="subscript"/>
              </w:rPr>
              <w:t>1</w:t>
            </w:r>
            <w:r>
              <w:rPr>
                <w:rFonts w:hint="eastAsia" w:ascii="宋体" w:hAnsi="宋体"/>
                <w:b/>
                <w:spacing w:val="-16"/>
                <w:sz w:val="18"/>
                <w:szCs w:val="18"/>
              </w:rPr>
              <w:t>=1.6</w:t>
            </w:r>
          </w:p>
        </w:tc>
        <w:tc>
          <w:tcPr>
            <w:tcW w:w="1676" w:type="pct"/>
            <w:gridSpan w:val="2"/>
            <w:shd w:val="clear" w:color="auto" w:fill="auto"/>
            <w:noWrap w:val="0"/>
            <w:vAlign w:val="center"/>
          </w:tcPr>
          <w:p>
            <w:pPr>
              <w:jc w:val="center"/>
              <w:rPr>
                <w:rFonts w:hint="eastAsia" w:ascii="宋体" w:hAnsi="宋体"/>
                <w:spacing w:val="-16"/>
                <w:sz w:val="18"/>
                <w:szCs w:val="18"/>
              </w:rPr>
            </w:pPr>
            <w:r>
              <w:rPr>
                <w:rFonts w:ascii="宋体" w:hAnsi="宋体"/>
                <w:spacing w:val="-16"/>
                <w:sz w:val="18"/>
                <w:szCs w:val="18"/>
              </w:rPr>
              <w:t>m</w:t>
            </w:r>
            <w:r>
              <w:rPr>
                <w:rFonts w:ascii="宋体" w:hAnsi="宋体"/>
                <w:spacing w:val="-16"/>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 w:hRule="atLeast"/>
        </w:trPr>
        <w:tc>
          <w:tcPr>
            <w:tcW w:w="570"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15</w:t>
            </w:r>
          </w:p>
        </w:tc>
        <w:tc>
          <w:tcPr>
            <w:tcW w:w="733"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2.5</w:t>
            </w:r>
          </w:p>
        </w:tc>
        <w:tc>
          <w:tcPr>
            <w:tcW w:w="2021" w:type="pct"/>
            <w:gridSpan w:val="2"/>
            <w:vMerge w:val="continue"/>
            <w:shd w:val="clear" w:color="auto" w:fill="auto"/>
            <w:noWrap w:val="0"/>
            <w:vAlign w:val="center"/>
          </w:tcPr>
          <w:p>
            <w:pPr>
              <w:jc w:val="center"/>
              <w:rPr>
                <w:rFonts w:hint="eastAsia" w:ascii="宋体" w:hAnsi="宋体"/>
                <w:spacing w:val="-16"/>
                <w:sz w:val="18"/>
                <w:szCs w:val="18"/>
              </w:rPr>
            </w:pP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0.0001</w:t>
            </w: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8" w:hRule="atLeast"/>
        </w:trPr>
        <w:tc>
          <w:tcPr>
            <w:tcW w:w="570"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20</w:t>
            </w:r>
          </w:p>
        </w:tc>
        <w:tc>
          <w:tcPr>
            <w:tcW w:w="733"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4.0</w:t>
            </w:r>
          </w:p>
        </w:tc>
        <w:tc>
          <w:tcPr>
            <w:tcW w:w="2021" w:type="pct"/>
            <w:gridSpan w:val="2"/>
            <w:vMerge w:val="continue"/>
            <w:shd w:val="clear" w:color="auto" w:fill="auto"/>
            <w:noWrap w:val="0"/>
            <w:vAlign w:val="center"/>
          </w:tcPr>
          <w:p>
            <w:pPr>
              <w:jc w:val="center"/>
              <w:rPr>
                <w:rFonts w:hint="eastAsia" w:ascii="宋体" w:hAnsi="宋体"/>
                <w:spacing w:val="-16"/>
                <w:sz w:val="18"/>
                <w:szCs w:val="18"/>
              </w:rPr>
            </w:pP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0.0001</w:t>
            </w:r>
          </w:p>
        </w:tc>
        <w:tc>
          <w:tcPr>
            <w:tcW w:w="838"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trPr>
        <w:tc>
          <w:tcPr>
            <w:tcW w:w="570" w:type="pct"/>
            <w:vMerge w:val="restar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25</w:t>
            </w:r>
          </w:p>
        </w:tc>
        <w:tc>
          <w:tcPr>
            <w:tcW w:w="733"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4.0</w:t>
            </w:r>
          </w:p>
        </w:tc>
        <w:tc>
          <w:tcPr>
            <w:tcW w:w="2021" w:type="pct"/>
            <w:gridSpan w:val="2"/>
            <w:vMerge w:val="continue"/>
            <w:shd w:val="clear" w:color="auto" w:fill="auto"/>
            <w:noWrap w:val="0"/>
            <w:vAlign w:val="center"/>
          </w:tcPr>
          <w:p>
            <w:pPr>
              <w:jc w:val="center"/>
              <w:rPr>
                <w:rFonts w:hint="eastAsia" w:ascii="宋体" w:hAnsi="宋体"/>
                <w:spacing w:val="-16"/>
                <w:sz w:val="18"/>
                <w:szCs w:val="18"/>
              </w:rPr>
            </w:pPr>
          </w:p>
        </w:tc>
        <w:tc>
          <w:tcPr>
            <w:tcW w:w="838" w:type="pct"/>
            <w:vMerge w:val="restar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0.0001</w:t>
            </w:r>
          </w:p>
        </w:tc>
        <w:tc>
          <w:tcPr>
            <w:tcW w:w="838" w:type="pct"/>
            <w:vMerge w:val="restar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atLeast"/>
        </w:trPr>
        <w:tc>
          <w:tcPr>
            <w:tcW w:w="570" w:type="pct"/>
            <w:vMerge w:val="continue"/>
            <w:shd w:val="clear" w:color="auto" w:fill="auto"/>
            <w:noWrap w:val="0"/>
            <w:vAlign w:val="center"/>
          </w:tcPr>
          <w:p>
            <w:pPr>
              <w:jc w:val="center"/>
              <w:rPr>
                <w:rFonts w:hint="eastAsia" w:ascii="宋体" w:hAnsi="宋体"/>
                <w:spacing w:val="-16"/>
                <w:sz w:val="18"/>
                <w:szCs w:val="18"/>
              </w:rPr>
            </w:pPr>
            <w:bookmarkStart w:id="0" w:name="OLE_LINK2"/>
          </w:p>
        </w:tc>
        <w:tc>
          <w:tcPr>
            <w:tcW w:w="733" w:type="pct"/>
            <w:shd w:val="clear" w:color="auto" w:fill="auto"/>
            <w:noWrap w:val="0"/>
            <w:vAlign w:val="center"/>
          </w:tcPr>
          <w:p>
            <w:pPr>
              <w:jc w:val="center"/>
              <w:rPr>
                <w:rFonts w:hint="eastAsia" w:ascii="宋体" w:hAnsi="宋体"/>
                <w:spacing w:val="-16"/>
                <w:sz w:val="18"/>
                <w:szCs w:val="18"/>
              </w:rPr>
            </w:pPr>
            <w:r>
              <w:rPr>
                <w:rFonts w:hint="eastAsia" w:ascii="宋体" w:hAnsi="宋体"/>
                <w:spacing w:val="-16"/>
                <w:sz w:val="18"/>
                <w:szCs w:val="18"/>
              </w:rPr>
              <w:t>6.3</w:t>
            </w:r>
          </w:p>
        </w:tc>
        <w:tc>
          <w:tcPr>
            <w:tcW w:w="2021" w:type="pct"/>
            <w:gridSpan w:val="2"/>
            <w:vMerge w:val="continue"/>
            <w:shd w:val="clear" w:color="auto" w:fill="auto"/>
            <w:noWrap w:val="0"/>
            <w:vAlign w:val="center"/>
          </w:tcPr>
          <w:p>
            <w:pPr>
              <w:spacing w:line="0" w:lineRule="atLeast"/>
              <w:ind w:left="-140" w:leftChars="-50" w:right="-140" w:rightChars="-50"/>
              <w:jc w:val="center"/>
              <w:rPr>
                <w:rFonts w:hint="eastAsia" w:ascii="宋体" w:hAnsi="宋体"/>
                <w:sz w:val="21"/>
                <w:szCs w:val="21"/>
              </w:rPr>
            </w:pPr>
          </w:p>
        </w:tc>
        <w:tc>
          <w:tcPr>
            <w:tcW w:w="838" w:type="pct"/>
            <w:vMerge w:val="continue"/>
            <w:shd w:val="clear" w:color="auto" w:fill="auto"/>
            <w:noWrap w:val="0"/>
            <w:vAlign w:val="center"/>
          </w:tcPr>
          <w:p>
            <w:pPr>
              <w:spacing w:line="0" w:lineRule="atLeast"/>
              <w:ind w:left="-140" w:leftChars="-50" w:right="-140" w:rightChars="-50"/>
              <w:jc w:val="center"/>
              <w:rPr>
                <w:rFonts w:hint="eastAsia" w:ascii="宋体" w:hAnsi="宋体"/>
                <w:sz w:val="21"/>
                <w:szCs w:val="21"/>
              </w:rPr>
            </w:pPr>
          </w:p>
        </w:tc>
        <w:tc>
          <w:tcPr>
            <w:tcW w:w="838" w:type="pct"/>
            <w:vMerge w:val="continue"/>
            <w:shd w:val="clear" w:color="auto" w:fill="auto"/>
            <w:noWrap w:val="0"/>
            <w:vAlign w:val="center"/>
          </w:tcPr>
          <w:p>
            <w:pPr>
              <w:spacing w:line="0" w:lineRule="atLeast"/>
              <w:ind w:left="-140" w:leftChars="-50" w:right="-140" w:rightChars="-50"/>
              <w:jc w:val="center"/>
              <w:rPr>
                <w:rFonts w:hint="eastAsia" w:ascii="宋体" w:hAnsi="宋体"/>
                <w:sz w:val="21"/>
                <w:szCs w:val="21"/>
              </w:rPr>
            </w:pPr>
          </w:p>
        </w:tc>
      </w:tr>
      <w:bookmarkEnd w:id="0"/>
    </w:tbl>
    <w:p>
      <w:pPr>
        <w:spacing w:line="280" w:lineRule="exact"/>
        <w:rPr>
          <w:rFonts w:hint="eastAsia" w:ascii="仿宋_GB2312" w:hAnsi="宋体" w:eastAsia="仿宋_GB2312"/>
          <w:sz w:val="18"/>
          <w:szCs w:val="18"/>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spacing w:line="280" w:lineRule="exact"/>
        <w:rPr>
          <w:rFonts w:hint="eastAsia" w:ascii="宋体" w:hAnsi="宋体"/>
          <w:position w:val="10"/>
          <w:sz w:val="15"/>
          <w:szCs w:val="15"/>
        </w:rPr>
      </w:pPr>
    </w:p>
    <w:p>
      <w:pPr>
        <w:pStyle w:val="4"/>
        <w:spacing w:line="280" w:lineRule="exact"/>
        <w:rPr>
          <w:rFonts w:hint="eastAsia" w:ascii="宋体" w:hAnsi="宋体"/>
          <w:sz w:val="15"/>
          <w:szCs w:val="15"/>
        </w:rPr>
      </w:pPr>
      <w:r>
        <w:rPr>
          <w:rFonts w:hint="eastAsia" w:ascii="宋体" w:hAnsi="宋体"/>
          <w:sz w:val="15"/>
          <w:szCs w:val="15"/>
        </w:rPr>
        <w:t>3.5电气参数</w:t>
      </w:r>
    </w:p>
    <w:p>
      <w:pPr>
        <w:pStyle w:val="4"/>
        <w:spacing w:line="280" w:lineRule="exact"/>
        <w:rPr>
          <w:rFonts w:hint="eastAsia" w:ascii="宋体" w:hAnsi="宋体"/>
          <w:sz w:val="15"/>
          <w:szCs w:val="15"/>
        </w:rPr>
      </w:pPr>
      <w:r>
        <w:rPr>
          <w:rFonts w:hint="eastAsia" w:ascii="宋体" w:hAnsi="宋体"/>
          <w:sz w:val="15"/>
          <w:szCs w:val="15"/>
        </w:rPr>
        <w:t>工作环境温度：-15</w:t>
      </w:r>
      <w:r>
        <w:rPr>
          <w:rFonts w:ascii="宋体" w:hAnsi="宋体"/>
          <w:sz w:val="15"/>
          <w:szCs w:val="15"/>
        </w:rPr>
        <w:t>°</w:t>
      </w:r>
      <w:r>
        <w:rPr>
          <w:rFonts w:hint="eastAsia" w:ascii="宋体" w:hAnsi="宋体"/>
          <w:sz w:val="15"/>
          <w:szCs w:val="15"/>
        </w:rPr>
        <w:t>C～+55</w:t>
      </w:r>
      <w:r>
        <w:rPr>
          <w:rFonts w:ascii="宋体" w:hAnsi="宋体"/>
          <w:sz w:val="15"/>
          <w:szCs w:val="15"/>
        </w:rPr>
        <w:t>°</w:t>
      </w:r>
      <w:r>
        <w:rPr>
          <w:rFonts w:hint="eastAsia" w:ascii="宋体" w:hAnsi="宋体"/>
          <w:sz w:val="15"/>
          <w:szCs w:val="15"/>
        </w:rPr>
        <w:t>C。</w:t>
      </w:r>
    </w:p>
    <w:p>
      <w:pPr>
        <w:pStyle w:val="4"/>
        <w:spacing w:line="280" w:lineRule="exact"/>
        <w:rPr>
          <w:rFonts w:hint="eastAsia" w:ascii="宋体" w:hAnsi="宋体"/>
          <w:sz w:val="15"/>
          <w:szCs w:val="15"/>
        </w:rPr>
      </w:pPr>
      <w:r>
        <w:rPr>
          <w:rFonts w:hint="eastAsia" w:ascii="宋体" w:hAnsi="宋体"/>
          <w:sz w:val="15"/>
          <w:szCs w:val="15"/>
        </w:rPr>
        <w:t>环境相对湿度：</w:t>
      </w:r>
      <w:r>
        <w:rPr>
          <w:rFonts w:ascii="宋体" w:hAnsi="宋体"/>
          <w:sz w:val="15"/>
          <w:szCs w:val="15"/>
        </w:rPr>
        <w:t>&lt;</w:t>
      </w:r>
      <w:r>
        <w:rPr>
          <w:rFonts w:hint="eastAsia" w:ascii="宋体" w:hAnsi="宋体"/>
          <w:sz w:val="15"/>
          <w:szCs w:val="15"/>
        </w:rPr>
        <w:t>90%。</w:t>
      </w:r>
    </w:p>
    <w:p>
      <w:pPr>
        <w:pStyle w:val="4"/>
        <w:spacing w:line="280" w:lineRule="exact"/>
        <w:rPr>
          <w:rFonts w:hint="eastAsia" w:ascii="宋体" w:hAnsi="宋体"/>
          <w:sz w:val="15"/>
          <w:szCs w:val="15"/>
        </w:rPr>
      </w:pPr>
      <w:r>
        <w:rPr>
          <w:rFonts w:hint="eastAsia" w:ascii="宋体" w:hAnsi="宋体"/>
          <w:sz w:val="15"/>
          <w:szCs w:val="15"/>
        </w:rPr>
        <w:t>信号采集方式：采用光电传感技术，直接读取窗口值，使数据采集精确。</w:t>
      </w:r>
    </w:p>
    <w:p>
      <w:pPr>
        <w:spacing w:line="280" w:lineRule="exact"/>
        <w:rPr>
          <w:rFonts w:hint="eastAsia" w:ascii="宋体" w:hAnsi="宋体"/>
          <w:sz w:val="15"/>
          <w:szCs w:val="15"/>
        </w:rPr>
      </w:pPr>
      <w:r>
        <w:rPr>
          <w:rFonts w:hint="eastAsia" w:ascii="宋体" w:hAnsi="宋体"/>
          <w:sz w:val="15"/>
          <w:szCs w:val="15"/>
        </w:rPr>
        <w:t>数据显示方式：机械累计显示、网络远程显示。</w:t>
      </w:r>
    </w:p>
    <w:p>
      <w:pPr>
        <w:spacing w:line="280" w:lineRule="exact"/>
        <w:ind w:left="1299" w:hanging="1299" w:hangingChars="866"/>
        <w:rPr>
          <w:rFonts w:hint="eastAsia" w:ascii="宋体" w:hAnsi="宋体"/>
          <w:sz w:val="15"/>
          <w:szCs w:val="15"/>
        </w:rPr>
      </w:pPr>
      <w:r>
        <w:rPr>
          <w:rFonts w:hint="eastAsia" w:ascii="宋体" w:hAnsi="宋体"/>
          <w:sz w:val="15"/>
          <w:szCs w:val="15"/>
        </w:rPr>
        <w:t>水表数据上行方式：</w:t>
      </w:r>
      <w:r>
        <w:rPr>
          <w:rFonts w:hint="eastAsia" w:ascii="宋体" w:hAnsi="宋体"/>
          <w:sz w:val="15"/>
          <w:szCs w:val="15"/>
          <w:lang w:val="en-US" w:eastAsia="zh-CN"/>
        </w:rPr>
        <w:t>NB-IOT</w:t>
      </w:r>
      <w:r>
        <w:rPr>
          <w:rFonts w:hint="eastAsia" w:ascii="宋体" w:hAnsi="宋体"/>
          <w:sz w:val="15"/>
          <w:szCs w:val="15"/>
        </w:rPr>
        <w:t>远传抄读方式；</w:t>
      </w:r>
    </w:p>
    <w:p>
      <w:pPr>
        <w:spacing w:line="280" w:lineRule="exact"/>
        <w:rPr>
          <w:rFonts w:hint="eastAsia" w:ascii="宋体" w:hAnsi="宋体"/>
          <w:sz w:val="15"/>
          <w:szCs w:val="15"/>
        </w:rPr>
      </w:pPr>
      <w:r>
        <w:rPr>
          <w:rFonts w:hint="eastAsia" w:ascii="宋体" w:hAnsi="宋体"/>
          <w:sz w:val="15"/>
          <w:szCs w:val="15"/>
        </w:rPr>
        <w:t>表 地 址：见表罩永久性编号</w:t>
      </w:r>
    </w:p>
    <w:p>
      <w:pPr>
        <w:spacing w:line="280" w:lineRule="exact"/>
        <w:rPr>
          <w:rFonts w:hint="eastAsia" w:ascii="宋体" w:hAnsi="宋体"/>
          <w:sz w:val="15"/>
          <w:szCs w:val="15"/>
        </w:rPr>
      </w:pPr>
      <w:r>
        <w:rPr>
          <w:rFonts w:hint="eastAsia" w:ascii="宋体" w:hAnsi="宋体"/>
          <w:sz w:val="15"/>
          <w:szCs w:val="15"/>
        </w:rPr>
        <w:t>3.6阀门功能（针对可控阀式网络水表）</w:t>
      </w:r>
      <w:bookmarkStart w:id="1" w:name="_GoBack"/>
      <w:bookmarkEnd w:id="1"/>
    </w:p>
    <w:p>
      <w:pPr>
        <w:spacing w:line="280" w:lineRule="exact"/>
        <w:rPr>
          <w:rFonts w:hint="eastAsia" w:ascii="宋体" w:hAnsi="宋体"/>
          <w:sz w:val="15"/>
          <w:szCs w:val="15"/>
        </w:rPr>
      </w:pPr>
      <w:r>
        <w:rPr>
          <w:rFonts w:hint="eastAsia" w:ascii="宋体" w:hAnsi="宋体"/>
          <w:sz w:val="15"/>
          <w:szCs w:val="15"/>
        </w:rPr>
        <w:t>主站可以对阀门进行开关操作，表计收到阀门控制命令后，能够自动检测阀门状态，并按指令要求进行相应阀门操作，同时马上返回控制成功指令。</w:t>
      </w:r>
    </w:p>
    <w:p>
      <w:pPr>
        <w:spacing w:line="280" w:lineRule="exact"/>
        <w:rPr>
          <w:rFonts w:hint="eastAsia" w:ascii="宋体" w:hAnsi="宋体"/>
          <w:sz w:val="15"/>
          <w:szCs w:val="15"/>
        </w:rPr>
      </w:pPr>
    </w:p>
    <w:p>
      <w:pPr>
        <w:spacing w:line="280" w:lineRule="exact"/>
        <w:rPr>
          <w:rFonts w:hint="eastAsia" w:ascii="宋体" w:hAnsi="宋体"/>
          <w:sz w:val="15"/>
          <w:szCs w:val="15"/>
        </w:rPr>
      </w:pPr>
    </w:p>
    <w:p>
      <w:pPr>
        <w:spacing w:line="280" w:lineRule="exact"/>
        <w:rPr>
          <w:rFonts w:hint="eastAsia" w:ascii="宋体" w:hAnsi="宋体"/>
          <w:sz w:val="15"/>
          <w:szCs w:val="15"/>
        </w:rPr>
      </w:pPr>
    </w:p>
    <w:p>
      <w:pPr>
        <w:rPr>
          <w:rFonts w:hint="eastAsia" w:ascii="宋体" w:hAnsi="宋体"/>
          <w:sz w:val="18"/>
          <w:szCs w:val="18"/>
        </w:rPr>
      </w:pPr>
      <w:r>
        <w:rPr>
          <w:sz w:val="18"/>
          <w:szCs w:val="18"/>
        </w:rPr>
        <w:drawing>
          <wp:anchor distT="0" distB="0" distL="114300" distR="114300" simplePos="0" relativeHeight="251660288" behindDoc="0" locked="0" layoutInCell="1" allowOverlap="1">
            <wp:simplePos x="0" y="0"/>
            <wp:positionH relativeFrom="column">
              <wp:posOffset>217170</wp:posOffset>
            </wp:positionH>
            <wp:positionV relativeFrom="paragraph">
              <wp:posOffset>204470</wp:posOffset>
            </wp:positionV>
            <wp:extent cx="2272030" cy="1692910"/>
            <wp:effectExtent l="0" t="0" r="13970" b="2540"/>
            <wp:wrapNone/>
            <wp:docPr id="2" name="图片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55"/>
                    <pic:cNvPicPr>
                      <a:picLocks noChangeAspect="1"/>
                    </pic:cNvPicPr>
                  </pic:nvPicPr>
                  <pic:blipFill>
                    <a:blip r:embed="rId4"/>
                    <a:stretch>
                      <a:fillRect/>
                    </a:stretch>
                  </pic:blipFill>
                  <pic:spPr>
                    <a:xfrm>
                      <a:off x="0" y="0"/>
                      <a:ext cx="2272030" cy="1692910"/>
                    </a:xfrm>
                    <a:prstGeom prst="rect">
                      <a:avLst/>
                    </a:prstGeom>
                    <a:noFill/>
                    <a:ln>
                      <a:noFill/>
                    </a:ln>
                  </pic:spPr>
                </pic:pic>
              </a:graphicData>
            </a:graphic>
          </wp:anchor>
        </w:drawing>
      </w:r>
      <w:r>
        <w:rPr>
          <w:rFonts w:hint="eastAsia" w:ascii="宋体" w:hAnsi="宋体"/>
          <w:sz w:val="15"/>
          <w:szCs w:val="15"/>
        </w:rPr>
        <w:t>3.7 外形尺寸：</w:t>
      </w:r>
    </w:p>
    <w:p>
      <w:pPr>
        <w:spacing w:line="340" w:lineRule="exact"/>
        <w:jc w:val="left"/>
        <w:rPr>
          <w:rFonts w:hint="eastAsia" w:ascii="仿宋_GB2312" w:hAnsi="宋体" w:eastAsia="仿宋_GB2312"/>
          <w:sz w:val="18"/>
          <w:szCs w:val="18"/>
        </w:rPr>
      </w:pPr>
      <w:r>
        <w:rPr>
          <w:sz w:val="18"/>
          <w:szCs w:val="18"/>
        </w:rPr>
        <w:drawing>
          <wp:anchor distT="0" distB="0" distL="114300" distR="114300" simplePos="0" relativeHeight="251659264" behindDoc="0" locked="0" layoutInCell="1" allowOverlap="1">
            <wp:simplePos x="0" y="0"/>
            <wp:positionH relativeFrom="column">
              <wp:posOffset>3022600</wp:posOffset>
            </wp:positionH>
            <wp:positionV relativeFrom="paragraph">
              <wp:posOffset>22860</wp:posOffset>
            </wp:positionV>
            <wp:extent cx="3200400" cy="1661160"/>
            <wp:effectExtent l="0" t="0" r="0" b="15240"/>
            <wp:wrapNone/>
            <wp:docPr id="1" name="图片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54"/>
                    <pic:cNvPicPr>
                      <a:picLocks noChangeAspect="1"/>
                    </pic:cNvPicPr>
                  </pic:nvPicPr>
                  <pic:blipFill>
                    <a:blip r:embed="rId5"/>
                    <a:stretch>
                      <a:fillRect/>
                    </a:stretch>
                  </pic:blipFill>
                  <pic:spPr>
                    <a:xfrm>
                      <a:off x="0" y="0"/>
                      <a:ext cx="3200400" cy="1661160"/>
                    </a:xfrm>
                    <a:prstGeom prst="rect">
                      <a:avLst/>
                    </a:prstGeom>
                    <a:noFill/>
                    <a:ln>
                      <a:noFill/>
                    </a:ln>
                  </pic:spPr>
                </pic:pic>
              </a:graphicData>
            </a:graphic>
          </wp:anchor>
        </w:drawing>
      </w:r>
      <w:r>
        <w:rPr>
          <w:rFonts w:ascii="仿宋_GB2312" w:hAnsi="宋体" w:eastAsia="仿宋_GB2312"/>
          <w:sz w:val="18"/>
          <w:szCs w:val="18"/>
        </w:rPr>
        <w:object>
          <v:shape id="_x0000_i1025" o:spt="75" type="#_x0000_t75" style="height:585.75pt;width:885.75pt;" o:ole="t" filled="f" stroked="f" coordsize="21600,21600">
            <v:path/>
            <v:fill on="f" focussize="0,0"/>
            <v:stroke on="f"/>
            <v:imagedata r:id="rId7" o:title=""/>
            <o:lock v:ext="edit" aspectratio="t"/>
            <w10:wrap type="none"/>
            <w10:anchorlock/>
          </v:shape>
          <o:OLEObject Type="Embed" ProgID="AutoCAD.Drawing.16" ShapeID="_x0000_i1025" DrawAspect="Content" ObjectID="_1468075725" r:id="rId6">
            <o:LockedField>false</o:LockedField>
          </o:OLEObject>
        </w:object>
      </w: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r>
        <w:rPr>
          <w:rFonts w:hint="eastAsia" w:ascii="仿宋_GB2312" w:hAnsi="宋体" w:eastAsia="仿宋_GB2312"/>
          <w:sz w:val="18"/>
          <w:szCs w:val="18"/>
        </w:rPr>
        <mc:AlternateContent>
          <mc:Choice Requires="wps">
            <w:drawing>
              <wp:anchor distT="0" distB="0" distL="114300" distR="114300" simplePos="0" relativeHeight="251661312" behindDoc="0" locked="0" layoutInCell="1" allowOverlap="1">
                <wp:simplePos x="0" y="0"/>
                <wp:positionH relativeFrom="column">
                  <wp:posOffset>1354455</wp:posOffset>
                </wp:positionH>
                <wp:positionV relativeFrom="paragraph">
                  <wp:posOffset>57150</wp:posOffset>
                </wp:positionV>
                <wp:extent cx="711200" cy="361950"/>
                <wp:effectExtent l="0" t="0" r="0" b="0"/>
                <wp:wrapNone/>
                <wp:docPr id="3" name="文本框 2558"/>
                <wp:cNvGraphicFramePr/>
                <a:graphic xmlns:a="http://schemas.openxmlformats.org/drawingml/2006/main">
                  <a:graphicData uri="http://schemas.microsoft.com/office/word/2010/wordprocessingShape">
                    <wps:wsp>
                      <wps:cNvSpPr txBox="1"/>
                      <wps:spPr>
                        <a:xfrm>
                          <a:off x="0" y="0"/>
                          <a:ext cx="711200" cy="361950"/>
                        </a:xfrm>
                        <a:prstGeom prst="rect">
                          <a:avLst/>
                        </a:prstGeom>
                        <a:noFill/>
                        <a:ln>
                          <a:noFill/>
                        </a:ln>
                      </wps:spPr>
                      <wps:txbx>
                        <w:txbxContent>
                          <w:p>
                            <w:pPr>
                              <w:rPr>
                                <w:rFonts w:hint="eastAsia"/>
                                <w:sz w:val="15"/>
                                <w:szCs w:val="15"/>
                              </w:rPr>
                            </w:pPr>
                            <w:r>
                              <w:rPr>
                                <w:rFonts w:hint="eastAsia"/>
                                <w:sz w:val="15"/>
                                <w:szCs w:val="15"/>
                              </w:rPr>
                              <w:t>图1</w:t>
                            </w:r>
                          </w:p>
                        </w:txbxContent>
                      </wps:txbx>
                      <wps:bodyPr wrap="square" upright="1"/>
                    </wps:wsp>
                  </a:graphicData>
                </a:graphic>
              </wp:anchor>
            </w:drawing>
          </mc:Choice>
          <mc:Fallback>
            <w:pict>
              <v:shape id="文本框 2558" o:spid="_x0000_s1026" o:spt="202" type="#_x0000_t202" style="position:absolute;left:0pt;margin-left:106.65pt;margin-top:4.5pt;height:28.5pt;width:56pt;z-index:251661312;mso-width-relative:page;mso-height-relative:page;" filled="f" stroked="f" coordsize="21600,21600" o:gfxdata="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vSTxtQAAAAIAQAADwAAAAAAAAABACAAAAAiAAAAZHJzL2Rvd25yZXYueG1sUEsBAhQAFAAA&#10;AAgAh07iQKfFLP26AQAAXgMAAA4AAAAAAAAAAQAgAAAAIwEAAGRycy9lMm9Eb2MueG1sUEsFBgAA&#10;AAAGAAYAWQEAAE8FAAAAAA==&#10;">
                <v:fill on="f" focussize="0,0"/>
                <v:stroke on="f"/>
                <v:imagedata o:title=""/>
                <o:lock v:ext="edit" aspectratio="f"/>
                <v:textbox>
                  <w:txbxContent>
                    <w:p>
                      <w:pPr>
                        <w:rPr>
                          <w:rFonts w:hint="eastAsia"/>
                          <w:sz w:val="15"/>
                          <w:szCs w:val="15"/>
                        </w:rPr>
                      </w:pPr>
                      <w:r>
                        <w:rPr>
                          <w:rFonts w:hint="eastAsia"/>
                          <w:sz w:val="15"/>
                          <w:szCs w:val="15"/>
                        </w:rPr>
                        <w:t>图1</w:t>
                      </w:r>
                    </w:p>
                  </w:txbxContent>
                </v:textbox>
              </v:shape>
            </w:pict>
          </mc:Fallback>
        </mc:AlternateContent>
      </w:r>
      <w:r>
        <w:rPr>
          <w:rFonts w:hint="eastAsia" w:ascii="仿宋_GB2312" w:hAnsi="宋体" w:eastAsia="仿宋_GB2312"/>
          <w:sz w:val="18"/>
          <w:szCs w:val="18"/>
        </w:rPr>
        <mc:AlternateContent>
          <mc:Choice Requires="wps">
            <w:drawing>
              <wp:anchor distT="0" distB="0" distL="114300" distR="114300" simplePos="0" relativeHeight="251662336" behindDoc="0" locked="0" layoutInCell="1" allowOverlap="1">
                <wp:simplePos x="0" y="0"/>
                <wp:positionH relativeFrom="column">
                  <wp:posOffset>4573905</wp:posOffset>
                </wp:positionH>
                <wp:positionV relativeFrom="paragraph">
                  <wp:posOffset>66675</wp:posOffset>
                </wp:positionV>
                <wp:extent cx="711200" cy="361950"/>
                <wp:effectExtent l="0" t="0" r="0" b="0"/>
                <wp:wrapNone/>
                <wp:docPr id="4" name="文本框 2559"/>
                <wp:cNvGraphicFramePr/>
                <a:graphic xmlns:a="http://schemas.openxmlformats.org/drawingml/2006/main">
                  <a:graphicData uri="http://schemas.microsoft.com/office/word/2010/wordprocessingShape">
                    <wps:wsp>
                      <wps:cNvSpPr txBox="1"/>
                      <wps:spPr>
                        <a:xfrm>
                          <a:off x="0" y="0"/>
                          <a:ext cx="711200" cy="361950"/>
                        </a:xfrm>
                        <a:prstGeom prst="rect">
                          <a:avLst/>
                        </a:prstGeom>
                        <a:noFill/>
                        <a:ln>
                          <a:noFill/>
                        </a:ln>
                      </wps:spPr>
                      <wps:txbx>
                        <w:txbxContent>
                          <w:p>
                            <w:pPr>
                              <w:rPr>
                                <w:rFonts w:hint="eastAsia"/>
                                <w:sz w:val="15"/>
                                <w:szCs w:val="15"/>
                              </w:rPr>
                            </w:pPr>
                            <w:r>
                              <w:rPr>
                                <w:rFonts w:hint="eastAsia"/>
                                <w:sz w:val="15"/>
                                <w:szCs w:val="15"/>
                              </w:rPr>
                              <w:t>图2</w:t>
                            </w:r>
                          </w:p>
                        </w:txbxContent>
                      </wps:txbx>
                      <wps:bodyPr wrap="square" upright="1"/>
                    </wps:wsp>
                  </a:graphicData>
                </a:graphic>
              </wp:anchor>
            </w:drawing>
          </mc:Choice>
          <mc:Fallback>
            <w:pict>
              <v:shape id="文本框 2559" o:spid="_x0000_s1026" o:spt="202" type="#_x0000_t202" style="position:absolute;left:0pt;margin-left:360.15pt;margin-top:5.25pt;height:28.5pt;width:56pt;z-index:251662336;mso-width-relative:page;mso-height-relative:page;" filled="f" stroked="f" coordsize="21600,21600" o:gfxdata="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SkwwNcAAAAJAQAADwAAAAAAAAABACAAAAAiAAAAZHJzL2Rvd25yZXYueG1sUEsBAhQA&#10;FAAAAAgAh07iQECcFPO6AQAAXgMAAA4AAAAAAAAAAQAgAAAAJgEAAGRycy9lMm9Eb2MueG1sUEsF&#10;BgAAAAAGAAYAWQEAAFIFAAAAAA==&#10;">
                <v:fill on="f" focussize="0,0"/>
                <v:stroke on="f"/>
                <v:imagedata o:title=""/>
                <o:lock v:ext="edit" aspectratio="f"/>
                <v:textbox>
                  <w:txbxContent>
                    <w:p>
                      <w:pPr>
                        <w:rPr>
                          <w:rFonts w:hint="eastAsia"/>
                          <w:sz w:val="15"/>
                          <w:szCs w:val="15"/>
                        </w:rPr>
                      </w:pPr>
                      <w:r>
                        <w:rPr>
                          <w:rFonts w:hint="eastAsia"/>
                          <w:sz w:val="15"/>
                          <w:szCs w:val="15"/>
                        </w:rPr>
                        <w:t>图2</w:t>
                      </w:r>
                    </w:p>
                  </w:txbxContent>
                </v:textbox>
              </v:shape>
            </w:pict>
          </mc:Fallback>
        </mc:AlternateContent>
      </w:r>
    </w:p>
    <w:tbl>
      <w:tblPr>
        <w:tblStyle w:val="9"/>
        <w:tblpPr w:leftFromText="180" w:rightFromText="180" w:vertAnchor="text" w:horzAnchor="margin" w:tblpXSpec="center" w:tblpY="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86"/>
        <w:gridCol w:w="986"/>
        <w:gridCol w:w="890"/>
        <w:gridCol w:w="960"/>
        <w:gridCol w:w="720"/>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85" w:type="dxa"/>
            <w:vMerge w:val="restart"/>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公称口径</w:t>
            </w:r>
          </w:p>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(mm)</w:t>
            </w:r>
          </w:p>
        </w:tc>
        <w:tc>
          <w:tcPr>
            <w:tcW w:w="986" w:type="dxa"/>
            <w:vMerge w:val="restart"/>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总长</w:t>
            </w:r>
          </w:p>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L1(mm)</w:t>
            </w:r>
          </w:p>
        </w:tc>
        <w:tc>
          <w:tcPr>
            <w:tcW w:w="986" w:type="dxa"/>
            <w:vMerge w:val="restart"/>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表长</w:t>
            </w:r>
          </w:p>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L2 (mm)</w:t>
            </w:r>
          </w:p>
        </w:tc>
        <w:tc>
          <w:tcPr>
            <w:tcW w:w="890" w:type="dxa"/>
            <w:vMerge w:val="restart"/>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宽 (mm)</w:t>
            </w:r>
          </w:p>
        </w:tc>
        <w:tc>
          <w:tcPr>
            <w:tcW w:w="1680" w:type="dxa"/>
            <w:gridSpan w:val="2"/>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高H (mm)</w:t>
            </w:r>
          </w:p>
        </w:tc>
        <w:tc>
          <w:tcPr>
            <w:tcW w:w="2028" w:type="dxa"/>
            <w:gridSpan w:val="2"/>
            <w:noWrap w:val="0"/>
            <w:vAlign w:val="center"/>
          </w:tcPr>
          <w:p>
            <w:pPr>
              <w:widowControl/>
              <w:jc w:val="center"/>
              <w:rPr>
                <w:rFonts w:hint="eastAsia" w:ascii="仿宋_GB2312" w:hAnsi="宋体" w:eastAsia="仿宋_GB2312"/>
                <w:sz w:val="18"/>
                <w:szCs w:val="18"/>
              </w:rPr>
            </w:pPr>
            <w:r>
              <w:rPr>
                <w:rFonts w:hint="eastAsia" w:ascii="仿宋_GB2312" w:hAnsi="宋体" w:eastAsia="仿宋_GB2312"/>
                <w:sz w:val="18"/>
                <w:szCs w:val="18"/>
              </w:rPr>
              <w:t>连接螺纹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85" w:type="dxa"/>
            <w:vMerge w:val="continue"/>
            <w:noWrap w:val="0"/>
            <w:vAlign w:val="center"/>
          </w:tcPr>
          <w:p>
            <w:pPr>
              <w:spacing w:line="0" w:lineRule="atLeast"/>
              <w:jc w:val="center"/>
              <w:rPr>
                <w:rFonts w:hint="eastAsia" w:ascii="仿宋_GB2312" w:eastAsia="仿宋_GB2312"/>
                <w:sz w:val="18"/>
                <w:szCs w:val="18"/>
              </w:rPr>
            </w:pPr>
          </w:p>
        </w:tc>
        <w:tc>
          <w:tcPr>
            <w:tcW w:w="986" w:type="dxa"/>
            <w:vMerge w:val="continue"/>
            <w:noWrap w:val="0"/>
            <w:vAlign w:val="top"/>
          </w:tcPr>
          <w:p>
            <w:pPr>
              <w:spacing w:line="0" w:lineRule="atLeast"/>
              <w:jc w:val="center"/>
              <w:rPr>
                <w:rFonts w:hint="eastAsia" w:ascii="仿宋_GB2312" w:eastAsia="仿宋_GB2312"/>
                <w:sz w:val="18"/>
                <w:szCs w:val="18"/>
              </w:rPr>
            </w:pPr>
          </w:p>
        </w:tc>
        <w:tc>
          <w:tcPr>
            <w:tcW w:w="986" w:type="dxa"/>
            <w:vMerge w:val="continue"/>
            <w:noWrap w:val="0"/>
            <w:vAlign w:val="center"/>
          </w:tcPr>
          <w:p>
            <w:pPr>
              <w:spacing w:line="0" w:lineRule="atLeast"/>
              <w:jc w:val="center"/>
              <w:rPr>
                <w:rFonts w:hint="eastAsia" w:ascii="仿宋_GB2312" w:eastAsia="仿宋_GB2312"/>
                <w:sz w:val="18"/>
                <w:szCs w:val="18"/>
              </w:rPr>
            </w:pPr>
          </w:p>
        </w:tc>
        <w:tc>
          <w:tcPr>
            <w:tcW w:w="890" w:type="dxa"/>
            <w:vMerge w:val="continue"/>
            <w:noWrap w:val="0"/>
            <w:vAlign w:val="center"/>
          </w:tcPr>
          <w:p>
            <w:pPr>
              <w:spacing w:line="0" w:lineRule="atLeast"/>
              <w:jc w:val="center"/>
              <w:rPr>
                <w:rFonts w:hint="eastAsia" w:ascii="仿宋_GB2312" w:eastAsia="仿宋_GB2312"/>
                <w:sz w:val="18"/>
                <w:szCs w:val="18"/>
              </w:rPr>
            </w:pPr>
          </w:p>
        </w:tc>
        <w:tc>
          <w:tcPr>
            <w:tcW w:w="960" w:type="dxa"/>
            <w:noWrap w:val="0"/>
            <w:vAlign w:val="center"/>
          </w:tcPr>
          <w:p>
            <w:pPr>
              <w:spacing w:line="0" w:lineRule="atLeast"/>
              <w:jc w:val="center"/>
              <w:rPr>
                <w:rFonts w:hint="eastAsia" w:ascii="仿宋_GB2312" w:eastAsia="仿宋_GB2312"/>
                <w:sz w:val="18"/>
                <w:szCs w:val="18"/>
              </w:rPr>
            </w:pPr>
            <w:r>
              <w:rPr>
                <w:rFonts w:hint="eastAsia" w:ascii="仿宋_GB2312" w:eastAsia="仿宋_GB2312"/>
                <w:sz w:val="18"/>
                <w:szCs w:val="18"/>
              </w:rPr>
              <w:t>H1</w:t>
            </w:r>
          </w:p>
        </w:tc>
        <w:tc>
          <w:tcPr>
            <w:tcW w:w="720" w:type="dxa"/>
            <w:noWrap w:val="0"/>
            <w:vAlign w:val="center"/>
          </w:tcPr>
          <w:p>
            <w:pPr>
              <w:spacing w:line="0" w:lineRule="atLeast"/>
              <w:jc w:val="center"/>
              <w:rPr>
                <w:rFonts w:hint="eastAsia" w:ascii="仿宋_GB2312" w:eastAsia="仿宋_GB2312"/>
                <w:sz w:val="18"/>
                <w:szCs w:val="18"/>
              </w:rPr>
            </w:pPr>
            <w:r>
              <w:rPr>
                <w:rFonts w:hint="eastAsia" w:ascii="仿宋_GB2312" w:eastAsia="仿宋_GB2312"/>
                <w:sz w:val="18"/>
                <w:szCs w:val="18"/>
              </w:rPr>
              <w:t>H2</w:t>
            </w:r>
          </w:p>
        </w:tc>
        <w:tc>
          <w:tcPr>
            <w:tcW w:w="1014" w:type="dxa"/>
            <w:noWrap w:val="0"/>
            <w:vAlign w:val="center"/>
          </w:tcPr>
          <w:p>
            <w:pPr>
              <w:spacing w:line="0" w:lineRule="atLeast"/>
              <w:jc w:val="center"/>
              <w:rPr>
                <w:rFonts w:hint="eastAsia" w:ascii="仿宋_GB2312" w:eastAsia="仿宋_GB2312"/>
                <w:sz w:val="18"/>
                <w:szCs w:val="18"/>
              </w:rPr>
            </w:pPr>
            <w:r>
              <w:rPr>
                <w:rFonts w:hint="eastAsia" w:ascii="仿宋_GB2312" w:eastAsia="仿宋_GB2312"/>
                <w:sz w:val="18"/>
                <w:szCs w:val="18"/>
              </w:rPr>
              <w:t>接管</w:t>
            </w:r>
          </w:p>
        </w:tc>
        <w:tc>
          <w:tcPr>
            <w:tcW w:w="1014" w:type="dxa"/>
            <w:noWrap w:val="0"/>
            <w:vAlign w:val="center"/>
          </w:tcPr>
          <w:p>
            <w:pPr>
              <w:spacing w:line="0" w:lineRule="atLeast"/>
              <w:jc w:val="center"/>
              <w:rPr>
                <w:rFonts w:hint="eastAsia" w:ascii="仿宋_GB2312" w:eastAsia="仿宋_GB2312"/>
                <w:sz w:val="18"/>
                <w:szCs w:val="18"/>
              </w:rPr>
            </w:pPr>
            <w:r>
              <w:rPr>
                <w:rFonts w:hint="eastAsia" w:ascii="仿宋_GB2312" w:eastAsia="仿宋_GB2312"/>
                <w:sz w:val="18"/>
                <w:szCs w:val="18"/>
              </w:rPr>
              <w:t>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5"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15</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255</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165</w:t>
            </w:r>
          </w:p>
        </w:tc>
        <w:tc>
          <w:tcPr>
            <w:tcW w:w="89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92</w:t>
            </w:r>
          </w:p>
        </w:tc>
        <w:tc>
          <w:tcPr>
            <w:tcW w:w="96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198/115*</w:t>
            </w:r>
          </w:p>
        </w:tc>
        <w:tc>
          <w:tcPr>
            <w:tcW w:w="720" w:type="dxa"/>
            <w:noWrap w:val="0"/>
            <w:vAlign w:val="center"/>
          </w:tcPr>
          <w:p>
            <w:pPr>
              <w:spacing w:line="0" w:lineRule="atLeast"/>
              <w:jc w:val="center"/>
              <w:rPr>
                <w:rFonts w:hint="eastAsia" w:ascii="仿宋_GB2312" w:hAnsi="宋体" w:eastAsia="仿宋_GB2312"/>
                <w:sz w:val="18"/>
                <w:szCs w:val="18"/>
                <w:highlight w:val="yellow"/>
              </w:rPr>
            </w:pPr>
            <w:r>
              <w:rPr>
                <w:rFonts w:hint="eastAsia" w:ascii="仿宋_GB2312" w:hAnsi="宋体" w:eastAsia="仿宋_GB2312"/>
                <w:sz w:val="18"/>
                <w:szCs w:val="18"/>
                <w:highlight w:val="yellow"/>
              </w:rPr>
              <w:t>118</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R1/2</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G3/4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5"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20</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295</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195</w:t>
            </w:r>
          </w:p>
        </w:tc>
        <w:tc>
          <w:tcPr>
            <w:tcW w:w="89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92</w:t>
            </w:r>
          </w:p>
        </w:tc>
        <w:tc>
          <w:tcPr>
            <w:tcW w:w="96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198/115*</w:t>
            </w:r>
          </w:p>
        </w:tc>
        <w:tc>
          <w:tcPr>
            <w:tcW w:w="720" w:type="dxa"/>
            <w:noWrap w:val="0"/>
            <w:vAlign w:val="center"/>
          </w:tcPr>
          <w:p>
            <w:pPr>
              <w:spacing w:line="0" w:lineRule="atLeast"/>
              <w:jc w:val="center"/>
              <w:rPr>
                <w:rFonts w:hint="eastAsia" w:ascii="仿宋_GB2312" w:hAnsi="宋体" w:eastAsia="仿宋_GB2312"/>
                <w:sz w:val="18"/>
                <w:szCs w:val="18"/>
                <w:highlight w:val="yellow"/>
              </w:rPr>
            </w:pPr>
            <w:r>
              <w:rPr>
                <w:rFonts w:hint="eastAsia" w:ascii="仿宋_GB2312" w:hAnsi="宋体" w:eastAsia="仿宋_GB2312"/>
                <w:sz w:val="18"/>
                <w:szCs w:val="18"/>
                <w:highlight w:val="yellow"/>
              </w:rPr>
              <w:t>118</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R3/4</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5"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25</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341</w:t>
            </w:r>
          </w:p>
        </w:tc>
        <w:tc>
          <w:tcPr>
            <w:tcW w:w="986"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225</w:t>
            </w:r>
          </w:p>
        </w:tc>
        <w:tc>
          <w:tcPr>
            <w:tcW w:w="89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95/92*</w:t>
            </w:r>
          </w:p>
        </w:tc>
        <w:tc>
          <w:tcPr>
            <w:tcW w:w="960"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200/115*</w:t>
            </w:r>
          </w:p>
        </w:tc>
        <w:tc>
          <w:tcPr>
            <w:tcW w:w="720" w:type="dxa"/>
            <w:noWrap w:val="0"/>
            <w:vAlign w:val="center"/>
          </w:tcPr>
          <w:p>
            <w:pPr>
              <w:spacing w:line="0" w:lineRule="atLeast"/>
              <w:jc w:val="center"/>
              <w:rPr>
                <w:rFonts w:hint="eastAsia" w:ascii="仿宋_GB2312" w:hAnsi="宋体" w:eastAsia="仿宋_GB2312"/>
                <w:sz w:val="18"/>
                <w:szCs w:val="18"/>
                <w:highlight w:val="yellow"/>
              </w:rPr>
            </w:pPr>
            <w:r>
              <w:rPr>
                <w:rFonts w:hint="eastAsia" w:ascii="仿宋_GB2312" w:hAnsi="宋体" w:eastAsia="仿宋_GB2312"/>
                <w:sz w:val="18"/>
                <w:szCs w:val="18"/>
                <w:highlight w:val="yellow"/>
              </w:rPr>
              <w:t>120</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R1</w:t>
            </w:r>
          </w:p>
        </w:tc>
        <w:tc>
          <w:tcPr>
            <w:tcW w:w="1014" w:type="dxa"/>
            <w:noWrap w:val="0"/>
            <w:vAlign w:val="center"/>
          </w:tcPr>
          <w:p>
            <w:pPr>
              <w:spacing w:line="0" w:lineRule="atLeast"/>
              <w:jc w:val="center"/>
              <w:rPr>
                <w:rFonts w:hint="eastAsia" w:ascii="仿宋_GB2312" w:hAnsi="宋体" w:eastAsia="仿宋_GB2312"/>
                <w:sz w:val="18"/>
                <w:szCs w:val="18"/>
              </w:rPr>
            </w:pPr>
            <w:r>
              <w:rPr>
                <w:rFonts w:hint="eastAsia" w:ascii="仿宋_GB2312" w:hAnsi="宋体" w:eastAsia="仿宋_GB2312"/>
                <w:sz w:val="18"/>
                <w:szCs w:val="18"/>
              </w:rPr>
              <w:t>G1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555" w:type="dxa"/>
            <w:gridSpan w:val="8"/>
            <w:noWrap w:val="0"/>
            <w:vAlign w:val="center"/>
          </w:tcPr>
          <w:p>
            <w:pPr>
              <w:spacing w:line="0" w:lineRule="atLeast"/>
              <w:rPr>
                <w:rFonts w:hint="eastAsia" w:ascii="仿宋_GB2312" w:hAnsi="宋体" w:eastAsia="仿宋_GB2312"/>
                <w:sz w:val="18"/>
                <w:szCs w:val="18"/>
              </w:rPr>
            </w:pPr>
            <w:r>
              <w:rPr>
                <w:rFonts w:hint="eastAsia" w:ascii="仿宋_GB2312" w:hAnsi="宋体" w:eastAsia="仿宋_GB2312"/>
                <w:sz w:val="18"/>
                <w:szCs w:val="18"/>
              </w:rPr>
              <w:t>图1：LXSY-15～25光电直读式远传水表；图2：LXSY-15～25光电直读可控阀式网络水表；</w:t>
            </w:r>
          </w:p>
          <w:p>
            <w:pPr>
              <w:spacing w:line="0" w:lineRule="atLeast"/>
              <w:rPr>
                <w:rFonts w:hint="eastAsia" w:ascii="仿宋_GB2312" w:hAnsi="宋体" w:eastAsia="仿宋_GB2312"/>
                <w:sz w:val="18"/>
                <w:szCs w:val="18"/>
              </w:rPr>
            </w:pPr>
            <w:r>
              <w:rPr>
                <w:rFonts w:hint="eastAsia" w:ascii="仿宋_GB2312" w:hAnsi="宋体" w:eastAsia="仿宋_GB2312"/>
                <w:sz w:val="18"/>
                <w:szCs w:val="18"/>
              </w:rPr>
              <w:t>*：92为DN25可控阀式网络水表的宽度。</w:t>
            </w:r>
          </w:p>
          <w:p>
            <w:pPr>
              <w:spacing w:line="0" w:lineRule="atLeast"/>
              <w:rPr>
                <w:rFonts w:hint="eastAsia" w:ascii="仿宋_GB2312" w:hAnsi="宋体" w:eastAsia="仿宋_GB2312"/>
                <w:sz w:val="18"/>
                <w:szCs w:val="18"/>
              </w:rPr>
            </w:pPr>
            <w:r>
              <w:rPr>
                <w:rFonts w:hint="eastAsia" w:ascii="仿宋_GB2312" w:hAnsi="宋体" w:eastAsia="仿宋_GB2312"/>
                <w:sz w:val="18"/>
                <w:szCs w:val="18"/>
              </w:rPr>
              <w:t>*：115为DN15、DN20、DN25光电直读可控阀式网络水表的高度。</w:t>
            </w:r>
          </w:p>
        </w:tc>
      </w:tr>
    </w:tbl>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340" w:lineRule="exact"/>
        <w:jc w:val="left"/>
        <w:rPr>
          <w:rFonts w:hint="eastAsia" w:ascii="仿宋_GB2312" w:hAnsi="宋体" w:eastAsia="仿宋_GB2312"/>
          <w:sz w:val="18"/>
          <w:szCs w:val="18"/>
        </w:rPr>
      </w:pPr>
    </w:p>
    <w:p>
      <w:pPr>
        <w:spacing w:line="0" w:lineRule="atLeast"/>
        <w:rPr>
          <w:rFonts w:hint="eastAsia" w:ascii="宋体" w:hAnsi="宋体"/>
          <w:b/>
          <w:sz w:val="15"/>
          <w:szCs w:val="15"/>
        </w:rPr>
      </w:pPr>
      <w:r>
        <w:rPr>
          <w:rFonts w:hint="eastAsia" w:ascii="宋体" w:hAnsi="宋体"/>
          <w:b/>
          <w:sz w:val="15"/>
          <w:szCs w:val="15"/>
        </w:rPr>
        <w:t>4 安装与使用</w:t>
      </w:r>
    </w:p>
    <w:p>
      <w:pPr>
        <w:spacing w:line="220" w:lineRule="exact"/>
        <w:rPr>
          <w:rFonts w:hint="eastAsia"/>
          <w:sz w:val="15"/>
        </w:rPr>
      </w:pPr>
      <w:r>
        <w:rPr>
          <w:rFonts w:hint="eastAsia"/>
          <w:sz w:val="15"/>
        </w:rPr>
        <w:t>4.1选择水表口径，应根据用水量的大小以接近常用流量为宜。</w:t>
      </w:r>
      <w:r>
        <w:rPr>
          <w:rFonts w:hint="eastAsia" w:ascii="宋体" w:hAnsi="宋体"/>
          <w:sz w:val="15"/>
          <w:szCs w:val="15"/>
        </w:rPr>
        <w:t>额定工作条件: a)流量范围Q</w:t>
      </w:r>
      <w:r>
        <w:rPr>
          <w:rFonts w:hint="eastAsia" w:ascii="宋体" w:hAnsi="宋体"/>
          <w:sz w:val="15"/>
          <w:szCs w:val="15"/>
          <w:vertAlign w:val="subscript"/>
        </w:rPr>
        <w:t>1</w:t>
      </w:r>
      <w:r>
        <w:rPr>
          <w:rFonts w:hint="eastAsia" w:ascii="宋体" w:hAnsi="宋体"/>
          <w:sz w:val="15"/>
          <w:szCs w:val="15"/>
        </w:rPr>
        <w:t>～Q</w:t>
      </w:r>
      <w:r>
        <w:rPr>
          <w:rFonts w:hint="eastAsia" w:ascii="宋体" w:hAnsi="宋体"/>
          <w:sz w:val="15"/>
          <w:szCs w:val="15"/>
          <w:vertAlign w:val="subscript"/>
        </w:rPr>
        <w:t>3</w:t>
      </w:r>
      <w:r>
        <w:rPr>
          <w:rFonts w:hint="eastAsia" w:ascii="宋体" w:hAnsi="宋体"/>
          <w:sz w:val="15"/>
          <w:szCs w:val="15"/>
        </w:rPr>
        <w:t>；b)环境温度:5℃～55℃；c)水温:冷水水表0.1℃ ～30℃；d) 环境温度在40℃时为(0～100)%RH；e)水压:0.03～1.0M</w:t>
      </w:r>
      <w:r>
        <w:rPr>
          <w:rFonts w:ascii="宋体" w:hAnsi="宋体"/>
          <w:sz w:val="15"/>
          <w:szCs w:val="15"/>
        </w:rPr>
        <w:t>p</w:t>
      </w:r>
      <w:r>
        <w:rPr>
          <w:rFonts w:hint="eastAsia" w:ascii="宋体" w:hAnsi="宋体"/>
          <w:sz w:val="15"/>
          <w:szCs w:val="15"/>
        </w:rPr>
        <w:t>a,</w:t>
      </w:r>
      <w:r>
        <w:rPr>
          <w:rFonts w:hint="eastAsia"/>
          <w:sz w:val="15"/>
        </w:rPr>
        <w:t>水表不宜通入带有腐蚀性的液体，且冷水表禁止通入热水。</w:t>
      </w:r>
    </w:p>
    <w:p>
      <w:pPr>
        <w:spacing w:line="220" w:lineRule="exact"/>
        <w:rPr>
          <w:rFonts w:hint="eastAsia"/>
          <w:sz w:val="15"/>
        </w:rPr>
      </w:pPr>
      <w:r>
        <w:rPr>
          <w:rFonts w:hint="eastAsia"/>
          <w:sz w:val="15"/>
        </w:rPr>
        <w:t>4.2水表的安装位置要避免日晒雨淋、冰冻、污染、水溅和水淹，且方便拆装。在有冰冻期间，除将水表和水管包扎外，不用时将水表进水端阀门关闭，出水端放水阀和水龙头打开，可防止水表因冰冻膨胀而损坏。</w:t>
      </w:r>
      <w:r>
        <w:rPr>
          <w:rFonts w:hint="eastAsia" w:ascii="宋体" w:hAnsi="宋体"/>
          <w:sz w:val="15"/>
          <w:szCs w:val="15"/>
        </w:rPr>
        <w:t>水表安装须根据水表标度盘上或铜罩子上的提示，有“H”标识的为水平安装，有“V”标识的为垂直安装，表壳箭头与管道水流方向一致，水表上游应装有控制阀门便于水表的维修。</w:t>
      </w:r>
    </w:p>
    <w:p>
      <w:pPr>
        <w:spacing w:line="220" w:lineRule="exact"/>
        <w:rPr>
          <w:rFonts w:hint="eastAsia"/>
          <w:sz w:val="15"/>
        </w:rPr>
      </w:pPr>
      <w:r>
        <w:rPr>
          <w:rFonts w:hint="eastAsia"/>
          <w:sz w:val="15"/>
        </w:rPr>
        <w:t>4.3新装管道务必把管道内沙子、泥沙、麻丝等杂物冲洗干净后方可装表，以免造成水表故障。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管路在同一轴线上，满足水表的安装尺寸。</w:t>
      </w:r>
    </w:p>
    <w:p>
      <w:pPr>
        <w:spacing w:line="220" w:lineRule="exact"/>
        <w:rPr>
          <w:rFonts w:hint="eastAsia"/>
          <w:sz w:val="15"/>
        </w:rPr>
      </w:pPr>
      <w:r>
        <w:rPr>
          <w:rFonts w:hint="eastAsia"/>
          <w:sz w:val="15"/>
        </w:rPr>
        <w:t>4.4为计量准确，水龙头应高于水表。</w:t>
      </w:r>
    </w:p>
    <w:p>
      <w:pPr>
        <w:spacing w:line="220" w:lineRule="exact"/>
        <w:rPr>
          <w:rFonts w:hint="eastAsia" w:ascii="宋体" w:hAnsi="宋体"/>
          <w:sz w:val="15"/>
          <w:szCs w:val="15"/>
        </w:rPr>
      </w:pPr>
      <w:r>
        <w:rPr>
          <w:rFonts w:hint="eastAsia" w:ascii="宋体" w:hAnsi="宋体"/>
          <w:b/>
          <w:sz w:val="15"/>
          <w:szCs w:val="15"/>
        </w:rPr>
        <w:t>4.5为保证计量精度，一般情况下表前应保留</w:t>
      </w:r>
      <w:r>
        <w:rPr>
          <w:rFonts w:ascii="宋体" w:hAnsi="宋体"/>
          <w:b/>
          <w:sz w:val="15"/>
          <w:szCs w:val="15"/>
        </w:rPr>
        <w:t>10D</w:t>
      </w:r>
      <w:r>
        <w:rPr>
          <w:rFonts w:hint="eastAsia" w:ascii="宋体" w:hAnsi="宋体"/>
          <w:b/>
          <w:sz w:val="15"/>
          <w:szCs w:val="15"/>
        </w:rPr>
        <w:t>以上直管段，表后应保留</w:t>
      </w:r>
      <w:r>
        <w:rPr>
          <w:rFonts w:ascii="宋体" w:hAnsi="宋体"/>
          <w:b/>
          <w:sz w:val="15"/>
          <w:szCs w:val="15"/>
        </w:rPr>
        <w:t>5D</w:t>
      </w:r>
      <w:r>
        <w:rPr>
          <w:rFonts w:hint="eastAsia" w:ascii="宋体" w:hAnsi="宋体"/>
          <w:b/>
          <w:sz w:val="15"/>
          <w:szCs w:val="15"/>
        </w:rPr>
        <w:t>以上直管段，同时尽量避免弯头、三通、锥管、泵的干扰（</w:t>
      </w:r>
      <w:r>
        <w:rPr>
          <w:rFonts w:ascii="宋体" w:hAnsi="宋体"/>
          <w:b/>
          <w:sz w:val="15"/>
          <w:szCs w:val="15"/>
        </w:rPr>
        <w:t>D</w:t>
      </w:r>
      <w:r>
        <w:rPr>
          <w:rFonts w:hint="eastAsia" w:ascii="宋体" w:hAnsi="宋体"/>
          <w:b/>
          <w:sz w:val="15"/>
          <w:szCs w:val="15"/>
        </w:rPr>
        <w:t>为管道口径）。若表前管道有缩径管时，表前直管段在</w:t>
      </w:r>
      <w:r>
        <w:rPr>
          <w:rFonts w:ascii="宋体" w:hAnsi="宋体"/>
          <w:b/>
          <w:sz w:val="15"/>
          <w:szCs w:val="15"/>
        </w:rPr>
        <w:t>15D</w:t>
      </w:r>
      <w:r>
        <w:rPr>
          <w:rFonts w:hint="eastAsia" w:ascii="宋体" w:hAnsi="宋体"/>
          <w:b/>
          <w:sz w:val="15"/>
          <w:szCs w:val="15"/>
        </w:rPr>
        <w:t>以上；表前管道有</w:t>
      </w:r>
      <w:r>
        <w:rPr>
          <w:rFonts w:ascii="宋体" w:hAnsi="宋体"/>
          <w:b/>
          <w:sz w:val="15"/>
          <w:szCs w:val="15"/>
        </w:rPr>
        <w:t>90</w:t>
      </w:r>
      <w:r>
        <w:rPr>
          <w:rFonts w:ascii="宋体" w:hAnsi="宋体"/>
          <w:b/>
          <w:sz w:val="15"/>
          <w:szCs w:val="15"/>
          <w:vertAlign w:val="superscript"/>
        </w:rPr>
        <w:t>o</w:t>
      </w:r>
      <w:r>
        <w:rPr>
          <w:rFonts w:hint="eastAsia" w:ascii="宋体" w:hAnsi="宋体"/>
          <w:b/>
          <w:sz w:val="15"/>
          <w:szCs w:val="15"/>
        </w:rPr>
        <w:t>弯头时，表前直管段在</w:t>
      </w:r>
      <w:r>
        <w:rPr>
          <w:rFonts w:ascii="宋体" w:hAnsi="宋体"/>
          <w:b/>
          <w:sz w:val="15"/>
          <w:szCs w:val="15"/>
        </w:rPr>
        <w:t>20D</w:t>
      </w:r>
      <w:r>
        <w:rPr>
          <w:rFonts w:hint="eastAsia" w:ascii="宋体" w:hAnsi="宋体"/>
          <w:b/>
          <w:sz w:val="15"/>
          <w:szCs w:val="15"/>
        </w:rPr>
        <w:t>以上；表前管道有半开的阀门时，表前直管段在</w:t>
      </w:r>
      <w:r>
        <w:rPr>
          <w:rFonts w:ascii="宋体" w:hAnsi="宋体"/>
          <w:b/>
          <w:sz w:val="15"/>
          <w:szCs w:val="15"/>
        </w:rPr>
        <w:t>50D</w:t>
      </w:r>
      <w:r>
        <w:rPr>
          <w:rFonts w:hint="eastAsia" w:ascii="宋体" w:hAnsi="宋体"/>
          <w:b/>
          <w:sz w:val="15"/>
          <w:szCs w:val="15"/>
        </w:rPr>
        <w:t>以上。</w:t>
      </w:r>
    </w:p>
    <w:p>
      <w:pPr>
        <w:spacing w:line="220" w:lineRule="exact"/>
        <w:rPr>
          <w:rFonts w:hint="eastAsia"/>
          <w:sz w:val="15"/>
        </w:rPr>
      </w:pPr>
      <w:r>
        <w:rPr>
          <w:rFonts w:hint="eastAsia"/>
          <w:sz w:val="15"/>
        </w:rPr>
        <w:t>4.6水表如安装在锅炉的进水口，应在水表的出水口端安装止回阀，且水表尽最大限度远离止回阀,以免金属管路导热和热水回流烫坏水表。</w:t>
      </w:r>
    </w:p>
    <w:p>
      <w:pPr>
        <w:spacing w:line="220" w:lineRule="exact"/>
        <w:rPr>
          <w:rFonts w:hint="eastAsia"/>
          <w:sz w:val="15"/>
        </w:rPr>
      </w:pPr>
      <w:r>
        <w:rPr>
          <w:rFonts w:hint="eastAsia" w:ascii="宋体" w:hAnsi="宋体"/>
          <w:sz w:val="15"/>
          <w:szCs w:val="15"/>
        </w:rPr>
        <w:t>4.7为使水表能长期正常工作，水表内应始终充满水。如果空气有可能进入水表，应在水表上游安装放气阀。</w:t>
      </w:r>
    </w:p>
    <w:p>
      <w:pPr>
        <w:spacing w:line="220" w:lineRule="exact"/>
        <w:rPr>
          <w:rFonts w:hint="eastAsia"/>
          <w:sz w:val="15"/>
        </w:rPr>
      </w:pPr>
      <w:r>
        <w:rPr>
          <w:rFonts w:hint="eastAsia" w:ascii="宋体" w:hAnsi="宋体"/>
          <w:sz w:val="15"/>
          <w:szCs w:val="15"/>
        </w:rPr>
        <w:t>4.8应防止安装场所周围环境的冲击或振动导致水表损坏，还应避免水表承受由管道和管件造成的过度应力，必要时，须将水表安装在底座或托架上。</w:t>
      </w:r>
    </w:p>
    <w:p>
      <w:pPr>
        <w:spacing w:line="220" w:lineRule="exact"/>
        <w:rPr>
          <w:rFonts w:hint="eastAsia"/>
          <w:sz w:val="15"/>
        </w:rPr>
      </w:pPr>
      <w:r>
        <w:rPr>
          <w:rFonts w:hint="eastAsia" w:ascii="宋体" w:hAnsi="宋体"/>
          <w:sz w:val="15"/>
          <w:szCs w:val="15"/>
        </w:rPr>
        <w:t>4.9应防止极端水温和极端气温损坏水表和防止外界环境腐蚀导致水表损坏。</w:t>
      </w:r>
    </w:p>
    <w:p>
      <w:pPr>
        <w:spacing w:line="220" w:lineRule="exact"/>
        <w:rPr>
          <w:rFonts w:hint="eastAsia"/>
          <w:sz w:val="15"/>
        </w:rPr>
      </w:pPr>
      <w:r>
        <w:rPr>
          <w:rFonts w:hint="eastAsia" w:ascii="宋体" w:hAnsi="宋体"/>
          <w:sz w:val="15"/>
          <w:szCs w:val="15"/>
        </w:rPr>
        <w:t>4.10应采取措施防止不利的水力条件（空化、浪涌、水锤）。</w:t>
      </w:r>
    </w:p>
    <w:p>
      <w:pPr>
        <w:spacing w:line="220" w:lineRule="exact"/>
        <w:rPr>
          <w:rFonts w:hint="eastAsia"/>
          <w:sz w:val="15"/>
        </w:rPr>
      </w:pPr>
      <w:r>
        <w:rPr>
          <w:rFonts w:hint="eastAsia" w:ascii="宋体" w:hAnsi="宋体"/>
          <w:sz w:val="15"/>
          <w:szCs w:val="15"/>
        </w:rPr>
        <w:t>4.11上下游水管应适当固定，以保证在拆除水表或断开一侧连接时，任何部分都不会因水的推力而移位。</w:t>
      </w:r>
    </w:p>
    <w:p>
      <w:pPr>
        <w:spacing w:line="220" w:lineRule="exact"/>
        <w:rPr>
          <w:rFonts w:hint="eastAsia"/>
          <w:sz w:val="15"/>
          <w:szCs w:val="15"/>
        </w:rPr>
      </w:pPr>
      <w:r>
        <w:rPr>
          <w:rFonts w:hint="eastAsia" w:ascii="宋体" w:hAnsi="宋体"/>
          <w:sz w:val="15"/>
          <w:szCs w:val="15"/>
        </w:rPr>
        <w:t>4.12水表在长期使用过程中，若管道内有杂物、铁锈等沉积物难免会堵塞滤水网而影响供水和准确计量，如出现上述情况应与当地自来水公司取得联系并予以解决，不得自行拆装。</w:t>
      </w:r>
    </w:p>
    <w:p>
      <w:pPr>
        <w:spacing w:line="220" w:lineRule="exact"/>
        <w:rPr>
          <w:rFonts w:hint="eastAsia"/>
          <w:sz w:val="15"/>
          <w:szCs w:val="15"/>
        </w:rPr>
      </w:pPr>
      <w:r>
        <w:rPr>
          <w:rFonts w:hint="eastAsia" w:ascii="宋体" w:hAnsi="宋体"/>
          <w:sz w:val="15"/>
          <w:szCs w:val="15"/>
        </w:rPr>
        <w:t>4.13水表不使用时，指针如有微小转动，是由于管道中的水压不够稳定或其它原因引起的，建议在水表不使用时关闭水表上游的控制阀门。水表进水端装有止回阀的无此现象产生。</w:t>
      </w:r>
    </w:p>
    <w:p>
      <w:pPr>
        <w:spacing w:line="220" w:lineRule="exact"/>
        <w:rPr>
          <w:rFonts w:hint="eastAsia"/>
          <w:sz w:val="15"/>
        </w:rPr>
      </w:pPr>
      <w:r>
        <w:rPr>
          <w:rFonts w:hint="eastAsia"/>
          <w:sz w:val="15"/>
        </w:rPr>
        <w:t>4.14水表不应直接与管道连接，水表与管道间应通过连接管、密封垫圈、连接螺母连接，拆装时，切不可用力硬扳，以免扭坏表壳。</w:t>
      </w:r>
    </w:p>
    <w:p>
      <w:pPr>
        <w:spacing w:line="220" w:lineRule="exact"/>
        <w:rPr>
          <w:rFonts w:hint="eastAsia"/>
          <w:sz w:val="15"/>
        </w:rPr>
      </w:pPr>
      <w:r>
        <w:rPr>
          <w:rFonts w:hint="eastAsia"/>
          <w:b/>
          <w:sz w:val="15"/>
        </w:rPr>
        <w:t>4.15安装具有节水功能的水表时，在进水口一定要用配套专用管接头，以减少水压波动引起的水表自转现象。</w:t>
      </w:r>
    </w:p>
    <w:p>
      <w:pPr>
        <w:spacing w:line="220" w:lineRule="exact"/>
        <w:rPr>
          <w:rFonts w:hint="eastAsia"/>
          <w:sz w:val="15"/>
        </w:rPr>
      </w:pPr>
      <w:r>
        <w:rPr>
          <w:rFonts w:hint="eastAsia"/>
          <w:sz w:val="15"/>
        </w:rPr>
        <w:t>4.16由于未严格按照安装注意事项进行安装,造成水表或其配件的损坏,一切损失由安装者自负。</w:t>
      </w:r>
    </w:p>
    <w:p>
      <w:pPr>
        <w:spacing w:line="220" w:lineRule="exact"/>
        <w:rPr>
          <w:rFonts w:hint="eastAsia"/>
          <w:sz w:val="15"/>
          <w:lang w:val="en-US" w:eastAsia="zh-CN"/>
        </w:rPr>
      </w:pPr>
      <w:r>
        <w:rPr>
          <w:rFonts w:hint="eastAsia"/>
          <w:sz w:val="15"/>
          <w:lang w:val="en-US" w:eastAsia="zh-CN"/>
        </w:rPr>
        <w:t xml:space="preserve">4.17 </w:t>
      </w:r>
      <w:r>
        <w:rPr>
          <w:rFonts w:hint="eastAsia"/>
          <w:b/>
          <w:bCs/>
          <w:sz w:val="15"/>
          <w:lang w:val="en-US" w:eastAsia="zh-CN"/>
        </w:rPr>
        <w:t>主动唤醒上报：</w:t>
      </w:r>
      <w:r>
        <w:rPr>
          <w:rFonts w:hint="eastAsia"/>
          <w:sz w:val="15"/>
          <w:lang w:val="en-US" w:eastAsia="zh-CN"/>
        </w:rPr>
        <w:t>按压表上指示区域2秒即可触发主动上报，两次触发需要间隔1分钟以上，否则不生效，以降低能耗。</w:t>
      </w:r>
    </w:p>
    <w:p>
      <w:pPr>
        <w:spacing w:line="220" w:lineRule="exact"/>
        <w:rPr>
          <w:rFonts w:hint="default"/>
          <w:sz w:val="15"/>
          <w:lang w:val="en-US" w:eastAsia="zh-CN"/>
        </w:rPr>
      </w:pPr>
      <w:r>
        <w:rPr>
          <w:rFonts w:hint="eastAsia"/>
          <w:sz w:val="15"/>
          <w:lang w:val="en-US" w:eastAsia="zh-CN"/>
        </w:rPr>
        <w:t xml:space="preserve">4.18 </w:t>
      </w:r>
      <w:r>
        <w:rPr>
          <w:rFonts w:hint="eastAsia"/>
          <w:b/>
          <w:bCs/>
          <w:sz w:val="15"/>
          <w:lang w:val="en-US" w:eastAsia="zh-CN"/>
        </w:rPr>
        <w:t>开关阀操作：在通过平台下发控阀指令后，需要等待 表具主动上传数据（通常为凌晨） 或 主动唤醒（需要用户按压触发，见4.17操作）才会生效。</w:t>
      </w:r>
    </w:p>
    <w:p>
      <w:pPr>
        <w:autoSpaceDE w:val="0"/>
        <w:autoSpaceDN w:val="0"/>
        <w:adjustRightInd w:val="0"/>
        <w:spacing w:line="280" w:lineRule="exact"/>
        <w:jc w:val="left"/>
        <w:rPr>
          <w:rFonts w:hint="eastAsia" w:ascii="黑体" w:hAnsi="宋体" w:eastAsia="黑体"/>
          <w:b/>
          <w:sz w:val="18"/>
          <w:szCs w:val="18"/>
        </w:rPr>
      </w:pPr>
      <w:r>
        <w:rPr>
          <w:rFonts w:hint="eastAsia" w:ascii="黑体" w:hAnsi="宋体" w:eastAsia="黑体"/>
          <w:b/>
          <w:sz w:val="18"/>
          <w:szCs w:val="18"/>
        </w:rPr>
        <w:t>5 附件：</w:t>
      </w:r>
    </w:p>
    <w:p>
      <w:pPr>
        <w:spacing w:line="0" w:lineRule="atLeast"/>
        <w:rPr>
          <w:rFonts w:hint="eastAsia" w:ascii="宋体" w:hAnsi="宋体"/>
          <w:sz w:val="15"/>
          <w:szCs w:val="15"/>
        </w:rPr>
      </w:pPr>
      <w:r>
        <w:rPr>
          <w:rFonts w:hint="eastAsia" w:ascii="宋体" w:hAnsi="宋体"/>
          <w:sz w:val="15"/>
          <w:szCs w:val="15"/>
        </w:rPr>
        <w:t>随同每只水表供应管接头、螺母及橡胶密封圈各2件。</w:t>
      </w:r>
    </w:p>
    <w:p>
      <w:pPr>
        <w:autoSpaceDE w:val="0"/>
        <w:autoSpaceDN w:val="0"/>
        <w:adjustRightInd w:val="0"/>
        <w:spacing w:line="280" w:lineRule="exact"/>
        <w:jc w:val="left"/>
        <w:rPr>
          <w:rFonts w:hint="eastAsia" w:ascii="黑体" w:hAnsi="宋体" w:eastAsia="黑体" w:cs="宋体"/>
          <w:b/>
          <w:kern w:val="0"/>
          <w:sz w:val="18"/>
          <w:szCs w:val="18"/>
          <w:lang w:val="zh-CN"/>
        </w:rPr>
      </w:pPr>
      <w:r>
        <w:rPr>
          <w:rFonts w:hint="eastAsia" w:ascii="黑体" w:hAnsi="宋体" w:eastAsia="黑体" w:cs="宋体"/>
          <w:b/>
          <w:kern w:val="0"/>
          <w:sz w:val="18"/>
          <w:szCs w:val="18"/>
          <w:lang w:val="zh-CN"/>
        </w:rPr>
        <w:t xml:space="preserve">6 </w:t>
      </w:r>
      <w:r>
        <w:rPr>
          <w:rFonts w:hint="eastAsia" w:ascii="黑体" w:hAnsi="宋体" w:eastAsia="黑体"/>
          <w:b/>
          <w:sz w:val="18"/>
          <w:szCs w:val="18"/>
        </w:rPr>
        <w:t>质量承诺：该产品的质量保证期为18个月。对在质量保证期内的铅封完好产品，如出现质量问题，由本公司免费维修或更换。但因安装、使用不当及其他非产品本身的质量原因造成的水表损害除外。</w:t>
      </w:r>
      <w:r>
        <w:rPr>
          <w:rFonts w:hint="eastAsia" w:ascii="黑体" w:hAnsi="宋体" w:eastAsia="黑体" w:cs="宋体"/>
          <w:b/>
          <w:kern w:val="0"/>
          <w:sz w:val="18"/>
          <w:szCs w:val="18"/>
          <w:lang w:val="zh-CN"/>
        </w:rPr>
        <w:t xml:space="preserve">            </w:t>
      </w:r>
    </w:p>
    <w:p>
      <w:pPr>
        <w:spacing w:line="280" w:lineRule="exact"/>
        <w:rPr>
          <w:rFonts w:hint="eastAsia" w:ascii="黑体" w:hAnsi="宋体" w:eastAsia="黑体"/>
          <w:b/>
          <w:sz w:val="18"/>
          <w:szCs w:val="18"/>
        </w:rPr>
      </w:pPr>
      <w:r>
        <w:rPr>
          <w:rFonts w:hint="eastAsia" w:ascii="黑体" w:hAnsi="宋体" w:eastAsia="黑体" w:cs="宋体"/>
          <w:b/>
          <w:kern w:val="0"/>
          <w:sz w:val="18"/>
          <w:szCs w:val="18"/>
          <w:lang w:val="zh-CN"/>
        </w:rPr>
        <w:t xml:space="preserve">7 </w:t>
      </w:r>
      <w:r>
        <w:rPr>
          <w:rFonts w:hint="eastAsia" w:ascii="黑体" w:hAnsi="宋体" w:eastAsia="黑体"/>
          <w:b/>
          <w:sz w:val="18"/>
          <w:szCs w:val="18"/>
        </w:rPr>
        <w:t>免责声明：如果封铅被破坏或不完整，本公司不承担责任；且本公司不承担水表以外的其他相关责任（包括但不限于因水表故障或误差导致的水计量纠纷的责任）。</w:t>
      </w:r>
    </w:p>
    <w:p>
      <w:pPr>
        <w:spacing w:line="220" w:lineRule="exact"/>
        <w:ind w:left="-157" w:leftChars="-56" w:firstLine="181" w:firstLineChars="100"/>
        <w:rPr>
          <w:rFonts w:hint="eastAsia" w:ascii="黑体" w:hAnsi="宋体" w:eastAsia="黑体"/>
          <w:b/>
          <w:sz w:val="18"/>
          <w:szCs w:val="18"/>
        </w:rPr>
      </w:pPr>
      <w:r>
        <w:rPr>
          <w:rFonts w:hint="eastAsia" w:ascii="黑体" w:hAnsi="宋体" w:eastAsia="黑体"/>
          <w:b/>
          <w:sz w:val="18"/>
          <w:szCs w:val="18"/>
        </w:rPr>
        <w:t>8 凡使用我公司产品自行维修的单位，我公司供应维修配件，但需与我公司销售部门取得联系以便及时提供维修配件。</w:t>
      </w:r>
    </w:p>
    <w:p>
      <w:pPr>
        <w:spacing w:line="280" w:lineRule="exact"/>
        <w:ind w:left="14" w:leftChars="5"/>
        <w:rPr>
          <w:rFonts w:hint="eastAsia" w:ascii="黑体" w:hAnsi="宋体" w:eastAsia="黑体"/>
          <w:b/>
          <w:sz w:val="18"/>
          <w:szCs w:val="18"/>
        </w:rPr>
      </w:pPr>
      <w:r>
        <w:rPr>
          <w:rFonts w:hint="eastAsia" w:ascii="黑体" w:hAnsi="宋体" w:eastAsia="黑体"/>
          <w:b/>
          <w:sz w:val="18"/>
          <w:szCs w:val="18"/>
        </w:rPr>
        <w:t>9 运输和储存：</w:t>
      </w:r>
    </w:p>
    <w:p>
      <w:pPr>
        <w:spacing w:line="280" w:lineRule="exact"/>
        <w:rPr>
          <w:rFonts w:ascii="黑体" w:hAnsi="宋体" w:eastAsia="黑体"/>
          <w:b/>
          <w:sz w:val="18"/>
          <w:szCs w:val="18"/>
        </w:rPr>
      </w:pPr>
      <w:r>
        <w:rPr>
          <w:rFonts w:ascii="黑体" w:hAnsi="宋体" w:eastAsia="黑体"/>
          <w:b/>
          <w:sz w:val="18"/>
          <w:szCs w:val="18"/>
        </w:rPr>
        <w:t>水表应在原包装内，环境温度5℃—</w:t>
      </w:r>
      <w:r>
        <w:rPr>
          <w:rFonts w:hint="eastAsia" w:ascii="黑体" w:hAnsi="宋体" w:eastAsia="黑体"/>
          <w:b/>
          <w:sz w:val="18"/>
          <w:szCs w:val="18"/>
        </w:rPr>
        <w:t>40</w:t>
      </w:r>
      <w:r>
        <w:rPr>
          <w:rFonts w:ascii="黑体" w:hAnsi="宋体" w:eastAsia="黑体"/>
          <w:b/>
          <w:sz w:val="18"/>
          <w:szCs w:val="18"/>
        </w:rPr>
        <w:t>℃，空气中无腐蚀性气体的环境中储存。</w:t>
      </w:r>
    </w:p>
    <w:p>
      <w:pPr>
        <w:spacing w:line="280" w:lineRule="exact"/>
        <w:rPr>
          <w:rFonts w:hint="eastAsia" w:ascii="黑体" w:hAnsi="宋体" w:eastAsia="黑体"/>
          <w:b/>
          <w:sz w:val="18"/>
          <w:szCs w:val="18"/>
        </w:rPr>
      </w:pPr>
      <w:r>
        <w:rPr>
          <w:rFonts w:ascii="黑体" w:hAnsi="宋体" w:eastAsia="黑体"/>
          <w:b/>
          <w:sz w:val="18"/>
          <w:szCs w:val="18"/>
        </w:rPr>
        <w:t>水表在货架上储存时，整箱叠放高度不超过5箱。</w:t>
      </w:r>
    </w:p>
    <w:p>
      <w:pPr>
        <w:spacing w:line="220" w:lineRule="exact"/>
        <w:ind w:left="-157" w:leftChars="-56" w:firstLine="90" w:firstLineChars="50"/>
        <w:rPr>
          <w:rFonts w:hint="eastAsia" w:ascii="黑体" w:hAnsi="宋体" w:eastAsia="黑体"/>
          <w:b/>
          <w:sz w:val="18"/>
        </w:rPr>
      </w:pPr>
      <w:r>
        <w:rPr>
          <w:rFonts w:hint="eastAsia" w:ascii="黑体" w:hAnsi="宋体" w:eastAsia="黑体"/>
          <w:b/>
          <w:sz w:val="18"/>
        </w:rPr>
        <w:t>使用须知：</w:t>
      </w:r>
    </w:p>
    <w:p>
      <w:pPr>
        <w:spacing w:line="220" w:lineRule="exact"/>
        <w:rPr>
          <w:rFonts w:hint="eastAsia"/>
          <w:sz w:val="15"/>
        </w:rPr>
      </w:pPr>
      <w:r>
        <w:rPr>
          <w:rFonts w:hint="eastAsia"/>
          <w:sz w:val="15"/>
        </w:rPr>
        <w:t>1、使用前请仔细阅读《使用说明》。</w:t>
      </w:r>
    </w:p>
    <w:p>
      <w:pPr>
        <w:spacing w:line="220" w:lineRule="exact"/>
        <w:rPr>
          <w:rFonts w:hint="eastAsia"/>
          <w:sz w:val="15"/>
        </w:rPr>
      </w:pPr>
      <w:r>
        <w:rPr>
          <w:rFonts w:hint="eastAsia"/>
          <w:sz w:val="15"/>
        </w:rPr>
        <w:t>2、本水表是住宅、商业和轻工业（E1级）使用，安装在室内的固定式水表（B级）</w:t>
      </w:r>
    </w:p>
    <w:p>
      <w:pPr>
        <w:spacing w:line="220" w:lineRule="exact"/>
        <w:rPr>
          <w:rFonts w:hint="eastAsia"/>
          <w:sz w:val="15"/>
        </w:rPr>
      </w:pPr>
      <w:r>
        <w:rPr>
          <w:rFonts w:hint="eastAsia"/>
          <w:sz w:val="15"/>
        </w:rPr>
        <w:t>3、如电子部分出现故障，计量以机械计数为准。</w:t>
      </w:r>
    </w:p>
    <w:p>
      <w:pPr>
        <w:spacing w:line="220" w:lineRule="exact"/>
        <w:rPr>
          <w:rFonts w:hint="eastAsia"/>
          <w:sz w:val="15"/>
        </w:rPr>
      </w:pPr>
      <w:r>
        <w:rPr>
          <w:rFonts w:hint="eastAsia"/>
          <w:sz w:val="15"/>
        </w:rPr>
        <w:t>4、本公司的使用说明书并无任何明确或隐含的保证，本公司有对本说明书进行更改和修订的权利，若有更改恕不另行通知，一切以实际产品为主。</w:t>
      </w:r>
    </w:p>
    <w:p>
      <w:pPr>
        <w:spacing w:line="280" w:lineRule="exact"/>
        <w:ind w:right="660"/>
        <w:rPr>
          <w:rFonts w:hint="eastAsia" w:ascii="宋体" w:hAnsi="宋体"/>
          <w:sz w:val="18"/>
        </w:rPr>
      </w:pPr>
    </w:p>
    <w:p>
      <w:pPr>
        <w:spacing w:line="0" w:lineRule="atLeast"/>
        <w:jc w:val="left"/>
        <w:rPr>
          <w:rFonts w:hint="eastAsia" w:ascii="仿宋_GB2312" w:eastAsia="仿宋_GB2312"/>
          <w:sz w:val="18"/>
        </w:rPr>
      </w:pPr>
      <w:r>
        <w:rPr>
          <w:rFonts w:hint="eastAsia" w:ascii="仿宋_GB2312" w:eastAsia="仿宋_GB2312"/>
          <w:sz w:val="18"/>
        </w:rPr>
        <w:t>地</w:t>
      </w:r>
      <w:r>
        <w:rPr>
          <w:rFonts w:ascii="仿宋_GB2312" w:eastAsia="仿宋_GB2312"/>
          <w:sz w:val="18"/>
        </w:rPr>
        <w:t xml:space="preserve">    </w:t>
      </w:r>
      <w:r>
        <w:rPr>
          <w:rFonts w:hint="eastAsia" w:ascii="仿宋_GB2312" w:eastAsia="仿宋_GB2312"/>
          <w:sz w:val="18"/>
        </w:rPr>
        <w:t xml:space="preserve">址：长沙高新开发区文轩路27号麓谷钰园第A4栋1单元6层601号 </w:t>
      </w:r>
      <w:r>
        <w:rPr>
          <w:rFonts w:ascii="仿宋_GB2312" w:eastAsia="仿宋_GB2312"/>
          <w:sz w:val="18"/>
        </w:rPr>
        <w:t xml:space="preserve">         </w:t>
      </w:r>
      <w:r>
        <w:rPr>
          <w:rFonts w:hint="eastAsia" w:ascii="仿宋_GB2312" w:eastAsia="仿宋_GB2312"/>
          <w:sz w:val="18"/>
        </w:rPr>
        <w:t xml:space="preserve">    </w:t>
      </w:r>
      <w:r>
        <w:rPr>
          <w:rFonts w:ascii="仿宋_GB2312" w:eastAsia="仿宋_GB2312"/>
          <w:sz w:val="18"/>
        </w:rPr>
        <w:t xml:space="preserve"> </w:t>
      </w:r>
      <w:r>
        <w:rPr>
          <w:rFonts w:hint="eastAsia" w:ascii="仿宋_GB2312" w:eastAsia="仿宋_GB2312"/>
          <w:sz w:val="18"/>
        </w:rPr>
        <w:t xml:space="preserve">              </w:t>
      </w:r>
    </w:p>
    <w:p>
      <w:pPr>
        <w:spacing w:line="0" w:lineRule="atLeast"/>
        <w:jc w:val="left"/>
        <w:rPr>
          <w:rFonts w:hint="eastAsia" w:ascii="仿宋_GB2312" w:eastAsia="仿宋_GB2312"/>
          <w:sz w:val="18"/>
        </w:rPr>
      </w:pPr>
      <w:r>
        <w:rPr>
          <w:rFonts w:hint="eastAsia" w:ascii="仿宋_GB2312" w:eastAsia="仿宋_GB2312"/>
          <w:sz w:val="18"/>
        </w:rPr>
        <w:t>电</w:t>
      </w:r>
      <w:r>
        <w:rPr>
          <w:rFonts w:ascii="仿宋_GB2312" w:eastAsia="仿宋_GB2312"/>
          <w:sz w:val="18"/>
        </w:rPr>
        <w:t xml:space="preserve">    </w:t>
      </w:r>
      <w:r>
        <w:rPr>
          <w:rFonts w:hint="eastAsia" w:ascii="仿宋_GB2312" w:eastAsia="仿宋_GB2312"/>
          <w:sz w:val="18"/>
        </w:rPr>
        <w:t>话：（</w:t>
      </w:r>
      <w:r>
        <w:rPr>
          <w:rFonts w:ascii="仿宋_GB2312" w:eastAsia="仿宋_GB2312"/>
          <w:sz w:val="18"/>
        </w:rPr>
        <w:t>07</w:t>
      </w:r>
      <w:r>
        <w:rPr>
          <w:rFonts w:hint="eastAsia" w:ascii="仿宋_GB2312" w:eastAsia="仿宋_GB2312"/>
          <w:sz w:val="18"/>
        </w:rPr>
        <w:t>3</w:t>
      </w:r>
      <w:r>
        <w:rPr>
          <w:rFonts w:ascii="仿宋_GB2312" w:eastAsia="仿宋_GB2312"/>
          <w:sz w:val="18"/>
        </w:rPr>
        <w:t>1</w:t>
      </w:r>
      <w:r>
        <w:rPr>
          <w:rFonts w:hint="eastAsia" w:ascii="仿宋_GB2312" w:eastAsia="仿宋_GB2312"/>
          <w:sz w:val="18"/>
        </w:rPr>
        <w:t>）</w:t>
      </w:r>
      <w:r>
        <w:rPr>
          <w:rFonts w:ascii="仿宋_GB2312" w:eastAsia="仿宋_GB2312"/>
          <w:sz w:val="18"/>
        </w:rPr>
        <w:t>85566525</w:t>
      </w:r>
    </w:p>
    <w:p>
      <w:pPr>
        <w:spacing w:line="0" w:lineRule="atLeast"/>
        <w:rPr>
          <w:rFonts w:hint="eastAsia" w:ascii="仿宋_GB2312" w:eastAsia="仿宋_GB2312"/>
          <w:sz w:val="18"/>
        </w:rPr>
      </w:pPr>
      <w:r>
        <w:rPr>
          <w:rFonts w:hint="eastAsia" w:ascii="仿宋_GB2312" w:eastAsia="仿宋_GB2312"/>
          <w:sz w:val="18"/>
        </w:rPr>
        <w:t>传</w:t>
      </w:r>
      <w:r>
        <w:rPr>
          <w:rFonts w:ascii="仿宋_GB2312" w:eastAsia="仿宋_GB2312"/>
          <w:sz w:val="18"/>
        </w:rPr>
        <w:t xml:space="preserve">    </w:t>
      </w:r>
      <w:r>
        <w:rPr>
          <w:rFonts w:hint="eastAsia" w:ascii="仿宋_GB2312" w:eastAsia="仿宋_GB2312"/>
          <w:sz w:val="18"/>
        </w:rPr>
        <w:t>真：（</w:t>
      </w:r>
      <w:r>
        <w:rPr>
          <w:rFonts w:ascii="仿宋_GB2312" w:eastAsia="仿宋_GB2312"/>
          <w:sz w:val="18"/>
        </w:rPr>
        <w:t>07</w:t>
      </w:r>
      <w:r>
        <w:rPr>
          <w:rFonts w:hint="eastAsia" w:ascii="仿宋_GB2312" w:eastAsia="仿宋_GB2312"/>
          <w:sz w:val="18"/>
        </w:rPr>
        <w:t>3</w:t>
      </w:r>
      <w:r>
        <w:rPr>
          <w:rFonts w:ascii="仿宋_GB2312" w:eastAsia="仿宋_GB2312"/>
          <w:sz w:val="18"/>
        </w:rPr>
        <w:t>1</w:t>
      </w:r>
      <w:r>
        <w:rPr>
          <w:rFonts w:hint="eastAsia" w:ascii="仿宋_GB2312" w:eastAsia="仿宋_GB2312"/>
          <w:sz w:val="18"/>
        </w:rPr>
        <w:t>）</w:t>
      </w:r>
      <w:r>
        <w:rPr>
          <w:rFonts w:ascii="仿宋_GB2312" w:eastAsia="仿宋_GB2312"/>
          <w:sz w:val="18"/>
        </w:rPr>
        <w:t xml:space="preserve">89606850                              </w:t>
      </w:r>
      <w:r>
        <w:rPr>
          <w:rFonts w:hint="eastAsia" w:ascii="仿宋_GB2312" w:eastAsia="仿宋_GB2312"/>
          <w:sz w:val="18"/>
        </w:rPr>
        <w:t xml:space="preserve">             邮</w:t>
      </w:r>
      <w:r>
        <w:rPr>
          <w:rFonts w:ascii="仿宋_GB2312" w:eastAsia="仿宋_GB2312"/>
          <w:sz w:val="18"/>
        </w:rPr>
        <w:t xml:space="preserve">    </w:t>
      </w:r>
      <w:r>
        <w:rPr>
          <w:rFonts w:hint="eastAsia" w:ascii="仿宋_GB2312" w:eastAsia="仿宋_GB2312"/>
          <w:sz w:val="18"/>
        </w:rPr>
        <w:t>编：410000</w:t>
      </w:r>
    </w:p>
    <w:p>
      <w:pPr>
        <w:spacing w:line="0" w:lineRule="atLeast"/>
        <w:rPr>
          <w:rFonts w:hint="eastAsia" w:ascii="仿宋_GB2312" w:eastAsia="仿宋_GB2312"/>
          <w:sz w:val="18"/>
        </w:rPr>
      </w:pPr>
      <w:r>
        <w:rPr>
          <w:rFonts w:hint="eastAsia" w:ascii="黑体" w:eastAsia="黑体"/>
          <w:sz w:val="21"/>
        </w:rPr>
        <w:t>湖南东润智能仪表有限公司</w:t>
      </w:r>
    </w:p>
    <w:p>
      <w:pPr>
        <w:spacing w:line="280" w:lineRule="exact"/>
        <w:ind w:right="660"/>
        <w:rPr>
          <w:rFonts w:hint="eastAsia" w:ascii="仿宋_GB2312" w:eastAsia="仿宋_GB2312"/>
          <w:sz w:val="21"/>
          <w:szCs w:val="21"/>
        </w:rPr>
      </w:pPr>
      <w:r>
        <w:rPr>
          <w:rFonts w:ascii="黑体" w:eastAsia="黑体"/>
          <w:sz w:val="21"/>
          <w:szCs w:val="21"/>
        </w:rPr>
        <w:t xml:space="preserve">                          </w:t>
      </w:r>
      <w:r>
        <w:rPr>
          <w:rFonts w:hint="eastAsia" w:ascii="黑体" w:eastAsia="黑体"/>
          <w:sz w:val="21"/>
          <w:szCs w:val="21"/>
        </w:rPr>
        <w:t xml:space="preserve">                    </w:t>
      </w:r>
    </w:p>
    <w:sectPr>
      <w:pgSz w:w="11907" w:h="16840"/>
      <w:pgMar w:top="794" w:right="1021" w:bottom="454" w:left="1021" w:header="851" w:footer="992" w:gutter="0"/>
      <w:cols w:space="425"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RmMmQwOTJhZThjMzAxYzE5OGFmNDE3YzhjODQifQ=="/>
  </w:docVars>
  <w:rsids>
    <w:rsidRoot w:val="00B11331"/>
    <w:rsid w:val="000003BB"/>
    <w:rsid w:val="0000547A"/>
    <w:rsid w:val="000134FF"/>
    <w:rsid w:val="0002792E"/>
    <w:rsid w:val="00043E7B"/>
    <w:rsid w:val="000470D8"/>
    <w:rsid w:val="000608AC"/>
    <w:rsid w:val="00080F51"/>
    <w:rsid w:val="00082D86"/>
    <w:rsid w:val="0009002B"/>
    <w:rsid w:val="000A18B6"/>
    <w:rsid w:val="000A50BB"/>
    <w:rsid w:val="000A631E"/>
    <w:rsid w:val="000B2430"/>
    <w:rsid w:val="000B3594"/>
    <w:rsid w:val="000C3625"/>
    <w:rsid w:val="000D190A"/>
    <w:rsid w:val="000D5E04"/>
    <w:rsid w:val="000E559A"/>
    <w:rsid w:val="001126B7"/>
    <w:rsid w:val="00117512"/>
    <w:rsid w:val="00123B68"/>
    <w:rsid w:val="00135002"/>
    <w:rsid w:val="001440B4"/>
    <w:rsid w:val="00147CAD"/>
    <w:rsid w:val="0015039B"/>
    <w:rsid w:val="0015381E"/>
    <w:rsid w:val="0015464A"/>
    <w:rsid w:val="00163E16"/>
    <w:rsid w:val="001736ED"/>
    <w:rsid w:val="001804D4"/>
    <w:rsid w:val="0018082F"/>
    <w:rsid w:val="00181D06"/>
    <w:rsid w:val="0018448A"/>
    <w:rsid w:val="00191B9C"/>
    <w:rsid w:val="00193733"/>
    <w:rsid w:val="00196359"/>
    <w:rsid w:val="00196CBD"/>
    <w:rsid w:val="00196E93"/>
    <w:rsid w:val="001B0E3C"/>
    <w:rsid w:val="001B19AD"/>
    <w:rsid w:val="001C5C11"/>
    <w:rsid w:val="001E3FA7"/>
    <w:rsid w:val="001F528F"/>
    <w:rsid w:val="002005AF"/>
    <w:rsid w:val="0020090D"/>
    <w:rsid w:val="00207EBA"/>
    <w:rsid w:val="00226CF3"/>
    <w:rsid w:val="00231812"/>
    <w:rsid w:val="00233D0C"/>
    <w:rsid w:val="002513DE"/>
    <w:rsid w:val="0025477D"/>
    <w:rsid w:val="00263E06"/>
    <w:rsid w:val="00264ABC"/>
    <w:rsid w:val="002678D8"/>
    <w:rsid w:val="00284F24"/>
    <w:rsid w:val="002879C1"/>
    <w:rsid w:val="00287F57"/>
    <w:rsid w:val="0029478E"/>
    <w:rsid w:val="0029518E"/>
    <w:rsid w:val="002B755C"/>
    <w:rsid w:val="002D601E"/>
    <w:rsid w:val="002E1314"/>
    <w:rsid w:val="002E48A6"/>
    <w:rsid w:val="002E7693"/>
    <w:rsid w:val="00300CE5"/>
    <w:rsid w:val="00306A1A"/>
    <w:rsid w:val="00306E67"/>
    <w:rsid w:val="00322300"/>
    <w:rsid w:val="00323B52"/>
    <w:rsid w:val="003264C7"/>
    <w:rsid w:val="00327DFA"/>
    <w:rsid w:val="00344804"/>
    <w:rsid w:val="00347DEC"/>
    <w:rsid w:val="0036180A"/>
    <w:rsid w:val="00361A03"/>
    <w:rsid w:val="00371628"/>
    <w:rsid w:val="00373D58"/>
    <w:rsid w:val="00374236"/>
    <w:rsid w:val="00374DDD"/>
    <w:rsid w:val="003769AA"/>
    <w:rsid w:val="00376D85"/>
    <w:rsid w:val="003875BD"/>
    <w:rsid w:val="003B67FC"/>
    <w:rsid w:val="003C5CCB"/>
    <w:rsid w:val="003D5B21"/>
    <w:rsid w:val="003E0EFA"/>
    <w:rsid w:val="003E2830"/>
    <w:rsid w:val="003E4484"/>
    <w:rsid w:val="003F1557"/>
    <w:rsid w:val="003F3176"/>
    <w:rsid w:val="003F5C5A"/>
    <w:rsid w:val="00402C82"/>
    <w:rsid w:val="00403058"/>
    <w:rsid w:val="00406840"/>
    <w:rsid w:val="00417CD8"/>
    <w:rsid w:val="00424AB4"/>
    <w:rsid w:val="00434A19"/>
    <w:rsid w:val="0044076F"/>
    <w:rsid w:val="0044266C"/>
    <w:rsid w:val="00447472"/>
    <w:rsid w:val="00451C8F"/>
    <w:rsid w:val="00470B81"/>
    <w:rsid w:val="00473044"/>
    <w:rsid w:val="00477DF2"/>
    <w:rsid w:val="0048290A"/>
    <w:rsid w:val="00491D4B"/>
    <w:rsid w:val="00495965"/>
    <w:rsid w:val="00497FEC"/>
    <w:rsid w:val="004B5D8D"/>
    <w:rsid w:val="004C4EAC"/>
    <w:rsid w:val="004C525E"/>
    <w:rsid w:val="004E5C94"/>
    <w:rsid w:val="00502B44"/>
    <w:rsid w:val="00503D09"/>
    <w:rsid w:val="00504281"/>
    <w:rsid w:val="00506FF9"/>
    <w:rsid w:val="00527848"/>
    <w:rsid w:val="00544B9E"/>
    <w:rsid w:val="00551F17"/>
    <w:rsid w:val="005604D0"/>
    <w:rsid w:val="00561FD7"/>
    <w:rsid w:val="00562B1C"/>
    <w:rsid w:val="00572265"/>
    <w:rsid w:val="005812AB"/>
    <w:rsid w:val="00587523"/>
    <w:rsid w:val="005941DD"/>
    <w:rsid w:val="00594F1D"/>
    <w:rsid w:val="0059766F"/>
    <w:rsid w:val="005A079E"/>
    <w:rsid w:val="005A0E50"/>
    <w:rsid w:val="005B3EE1"/>
    <w:rsid w:val="005B50B7"/>
    <w:rsid w:val="005B5648"/>
    <w:rsid w:val="005B779D"/>
    <w:rsid w:val="005C1285"/>
    <w:rsid w:val="005C24D7"/>
    <w:rsid w:val="005E6DA8"/>
    <w:rsid w:val="00614691"/>
    <w:rsid w:val="00623D76"/>
    <w:rsid w:val="00624AC1"/>
    <w:rsid w:val="0062541E"/>
    <w:rsid w:val="00637CFD"/>
    <w:rsid w:val="00651A35"/>
    <w:rsid w:val="00656ED3"/>
    <w:rsid w:val="0066097C"/>
    <w:rsid w:val="0066590B"/>
    <w:rsid w:val="0067631D"/>
    <w:rsid w:val="006A2AED"/>
    <w:rsid w:val="006A4816"/>
    <w:rsid w:val="006A4D59"/>
    <w:rsid w:val="006B7082"/>
    <w:rsid w:val="006B7F28"/>
    <w:rsid w:val="006C1E4D"/>
    <w:rsid w:val="006C243E"/>
    <w:rsid w:val="006C7BDC"/>
    <w:rsid w:val="006D0258"/>
    <w:rsid w:val="006D4A45"/>
    <w:rsid w:val="006E711D"/>
    <w:rsid w:val="006E794A"/>
    <w:rsid w:val="006F17E7"/>
    <w:rsid w:val="006F2F59"/>
    <w:rsid w:val="006F67C4"/>
    <w:rsid w:val="0070434A"/>
    <w:rsid w:val="0070603D"/>
    <w:rsid w:val="00722F08"/>
    <w:rsid w:val="00724518"/>
    <w:rsid w:val="0072563F"/>
    <w:rsid w:val="00731C92"/>
    <w:rsid w:val="00733EF2"/>
    <w:rsid w:val="00735D91"/>
    <w:rsid w:val="00740C35"/>
    <w:rsid w:val="00742AB6"/>
    <w:rsid w:val="0074731D"/>
    <w:rsid w:val="0075152C"/>
    <w:rsid w:val="00751A34"/>
    <w:rsid w:val="00753554"/>
    <w:rsid w:val="00764AE5"/>
    <w:rsid w:val="00765C15"/>
    <w:rsid w:val="00767361"/>
    <w:rsid w:val="00770609"/>
    <w:rsid w:val="00771C12"/>
    <w:rsid w:val="007862AD"/>
    <w:rsid w:val="0079010E"/>
    <w:rsid w:val="00797201"/>
    <w:rsid w:val="007A0709"/>
    <w:rsid w:val="007B3F0A"/>
    <w:rsid w:val="007B511A"/>
    <w:rsid w:val="007B7ED3"/>
    <w:rsid w:val="007E12EE"/>
    <w:rsid w:val="007E3616"/>
    <w:rsid w:val="007E4CC0"/>
    <w:rsid w:val="007F2FA8"/>
    <w:rsid w:val="00802665"/>
    <w:rsid w:val="008041B2"/>
    <w:rsid w:val="008133C7"/>
    <w:rsid w:val="00817DD3"/>
    <w:rsid w:val="0082317C"/>
    <w:rsid w:val="00824757"/>
    <w:rsid w:val="00832273"/>
    <w:rsid w:val="008448D9"/>
    <w:rsid w:val="00851DC3"/>
    <w:rsid w:val="0085497E"/>
    <w:rsid w:val="0088097B"/>
    <w:rsid w:val="0088138C"/>
    <w:rsid w:val="0088231A"/>
    <w:rsid w:val="0089342F"/>
    <w:rsid w:val="008A5876"/>
    <w:rsid w:val="008A5AB0"/>
    <w:rsid w:val="008B0705"/>
    <w:rsid w:val="008B79BA"/>
    <w:rsid w:val="008C317F"/>
    <w:rsid w:val="008C6BF0"/>
    <w:rsid w:val="008D2F22"/>
    <w:rsid w:val="008D3BFF"/>
    <w:rsid w:val="008E0812"/>
    <w:rsid w:val="008E0A9E"/>
    <w:rsid w:val="008F1A7A"/>
    <w:rsid w:val="008F25CD"/>
    <w:rsid w:val="009167CF"/>
    <w:rsid w:val="00921880"/>
    <w:rsid w:val="009228FA"/>
    <w:rsid w:val="00926918"/>
    <w:rsid w:val="009367C9"/>
    <w:rsid w:val="00972199"/>
    <w:rsid w:val="009836A8"/>
    <w:rsid w:val="00985B1B"/>
    <w:rsid w:val="00991E8A"/>
    <w:rsid w:val="00993F09"/>
    <w:rsid w:val="009A4035"/>
    <w:rsid w:val="009B15B6"/>
    <w:rsid w:val="009C4F5B"/>
    <w:rsid w:val="009F10D2"/>
    <w:rsid w:val="00A030FC"/>
    <w:rsid w:val="00A04395"/>
    <w:rsid w:val="00A2656A"/>
    <w:rsid w:val="00A30068"/>
    <w:rsid w:val="00A4421D"/>
    <w:rsid w:val="00A47BFD"/>
    <w:rsid w:val="00A66CE9"/>
    <w:rsid w:val="00AB50B1"/>
    <w:rsid w:val="00AB788D"/>
    <w:rsid w:val="00AB7C06"/>
    <w:rsid w:val="00AC49AD"/>
    <w:rsid w:val="00AD0912"/>
    <w:rsid w:val="00AD3FC5"/>
    <w:rsid w:val="00AE1020"/>
    <w:rsid w:val="00B11331"/>
    <w:rsid w:val="00B15EDD"/>
    <w:rsid w:val="00B17680"/>
    <w:rsid w:val="00B23332"/>
    <w:rsid w:val="00B268A9"/>
    <w:rsid w:val="00B35734"/>
    <w:rsid w:val="00B37471"/>
    <w:rsid w:val="00B37586"/>
    <w:rsid w:val="00B42F44"/>
    <w:rsid w:val="00B45AE0"/>
    <w:rsid w:val="00B52DEC"/>
    <w:rsid w:val="00B5325B"/>
    <w:rsid w:val="00B550B9"/>
    <w:rsid w:val="00B77E93"/>
    <w:rsid w:val="00B82AD9"/>
    <w:rsid w:val="00B94C5A"/>
    <w:rsid w:val="00BA0FEA"/>
    <w:rsid w:val="00BB0331"/>
    <w:rsid w:val="00BB71A2"/>
    <w:rsid w:val="00BC5120"/>
    <w:rsid w:val="00BD1CB8"/>
    <w:rsid w:val="00BD37E5"/>
    <w:rsid w:val="00BD4FAE"/>
    <w:rsid w:val="00C000D8"/>
    <w:rsid w:val="00C02A9A"/>
    <w:rsid w:val="00C04B48"/>
    <w:rsid w:val="00C11B21"/>
    <w:rsid w:val="00C12FC4"/>
    <w:rsid w:val="00C20ED6"/>
    <w:rsid w:val="00C26AB8"/>
    <w:rsid w:val="00C30EBB"/>
    <w:rsid w:val="00C3214B"/>
    <w:rsid w:val="00C348DF"/>
    <w:rsid w:val="00C37A89"/>
    <w:rsid w:val="00C55E86"/>
    <w:rsid w:val="00C62ED0"/>
    <w:rsid w:val="00C641E0"/>
    <w:rsid w:val="00C67B49"/>
    <w:rsid w:val="00C74989"/>
    <w:rsid w:val="00C74A2C"/>
    <w:rsid w:val="00C81314"/>
    <w:rsid w:val="00C8569A"/>
    <w:rsid w:val="00CB3B43"/>
    <w:rsid w:val="00CC1403"/>
    <w:rsid w:val="00CC4918"/>
    <w:rsid w:val="00CD2F5E"/>
    <w:rsid w:val="00CE51F2"/>
    <w:rsid w:val="00CE5D82"/>
    <w:rsid w:val="00CE7500"/>
    <w:rsid w:val="00CF1060"/>
    <w:rsid w:val="00CF3C79"/>
    <w:rsid w:val="00CF4967"/>
    <w:rsid w:val="00D01C78"/>
    <w:rsid w:val="00D04A64"/>
    <w:rsid w:val="00D10695"/>
    <w:rsid w:val="00D161B6"/>
    <w:rsid w:val="00D175C2"/>
    <w:rsid w:val="00D3234F"/>
    <w:rsid w:val="00D33160"/>
    <w:rsid w:val="00D360AD"/>
    <w:rsid w:val="00D4185D"/>
    <w:rsid w:val="00D4252B"/>
    <w:rsid w:val="00D577F8"/>
    <w:rsid w:val="00D6407B"/>
    <w:rsid w:val="00D8591B"/>
    <w:rsid w:val="00D95150"/>
    <w:rsid w:val="00DA20B1"/>
    <w:rsid w:val="00DB083A"/>
    <w:rsid w:val="00DC1784"/>
    <w:rsid w:val="00DC4382"/>
    <w:rsid w:val="00DD1C75"/>
    <w:rsid w:val="00DE26CD"/>
    <w:rsid w:val="00DE5D76"/>
    <w:rsid w:val="00DF0306"/>
    <w:rsid w:val="00DF08FD"/>
    <w:rsid w:val="00DF3D18"/>
    <w:rsid w:val="00E02F75"/>
    <w:rsid w:val="00E119A8"/>
    <w:rsid w:val="00E156EF"/>
    <w:rsid w:val="00E172EB"/>
    <w:rsid w:val="00E233A2"/>
    <w:rsid w:val="00E37A28"/>
    <w:rsid w:val="00E51453"/>
    <w:rsid w:val="00E550A5"/>
    <w:rsid w:val="00E63CD2"/>
    <w:rsid w:val="00E63D36"/>
    <w:rsid w:val="00E74010"/>
    <w:rsid w:val="00E9380D"/>
    <w:rsid w:val="00E95FF1"/>
    <w:rsid w:val="00EA6EE0"/>
    <w:rsid w:val="00EA7734"/>
    <w:rsid w:val="00EB567B"/>
    <w:rsid w:val="00EC19DE"/>
    <w:rsid w:val="00EC7DC8"/>
    <w:rsid w:val="00ED473F"/>
    <w:rsid w:val="00EE7C1D"/>
    <w:rsid w:val="00EF3017"/>
    <w:rsid w:val="00F03FEE"/>
    <w:rsid w:val="00F23CDB"/>
    <w:rsid w:val="00F268E6"/>
    <w:rsid w:val="00F278B5"/>
    <w:rsid w:val="00F33BD3"/>
    <w:rsid w:val="00F33F27"/>
    <w:rsid w:val="00F37A12"/>
    <w:rsid w:val="00F527DD"/>
    <w:rsid w:val="00F53A0A"/>
    <w:rsid w:val="00F542C5"/>
    <w:rsid w:val="00F54B26"/>
    <w:rsid w:val="00F66488"/>
    <w:rsid w:val="00F762FC"/>
    <w:rsid w:val="00F97F35"/>
    <w:rsid w:val="00FA0D38"/>
    <w:rsid w:val="00FA33C9"/>
    <w:rsid w:val="00FA63FE"/>
    <w:rsid w:val="00FA7068"/>
    <w:rsid w:val="00FA77C2"/>
    <w:rsid w:val="00FB677F"/>
    <w:rsid w:val="00FB776F"/>
    <w:rsid w:val="00FD2D1F"/>
    <w:rsid w:val="00FD3395"/>
    <w:rsid w:val="00FD6909"/>
    <w:rsid w:val="00FD7C3F"/>
    <w:rsid w:val="00FF55BC"/>
    <w:rsid w:val="26A93CE9"/>
    <w:rsid w:val="292A20A2"/>
    <w:rsid w:val="2FFD359E"/>
    <w:rsid w:val="381D5DC4"/>
    <w:rsid w:val="630068C5"/>
    <w:rsid w:val="68B42D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120" w:after="60"/>
      <w:outlineLvl w:val="0"/>
    </w:pPr>
    <w:rPr>
      <w:rFonts w:eastAsia="楷体_GB2312"/>
      <w:b/>
      <w:bCs/>
      <w:kern w:val="44"/>
      <w:sz w:val="2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ody Text"/>
    <w:basedOn w:val="1"/>
    <w:qFormat/>
    <w:uiPriority w:val="0"/>
    <w:rPr>
      <w:sz w:val="18"/>
    </w:rPr>
  </w:style>
  <w:style w:type="paragraph" w:styleId="5">
    <w:name w:val="Balloon Text"/>
    <w:basedOn w:val="1"/>
    <w:semiHidden/>
    <w:qFormat/>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Strong"/>
    <w:qFormat/>
    <w:uiPriority w:val="0"/>
    <w:rPr>
      <w:b/>
      <w:bCs/>
    </w:rPr>
  </w:style>
  <w:style w:type="character" w:styleId="12">
    <w:name w:val="Hyperlink"/>
    <w:qFormat/>
    <w:uiPriority w:val="0"/>
    <w:rPr>
      <w:color w:val="0000FF"/>
      <w:u w:val="single"/>
    </w:rPr>
  </w:style>
  <w:style w:type="character" w:styleId="13">
    <w:name w:val="annotation reference"/>
    <w:semiHidden/>
    <w:uiPriority w:val="0"/>
    <w:rPr>
      <w:sz w:val="21"/>
      <w:szCs w:val="21"/>
    </w:rPr>
  </w:style>
  <w:style w:type="paragraph" w:customStyle="1" w:styleId="1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15">
    <w:name w:val="页眉 Char"/>
    <w:link w:val="7"/>
    <w:qFormat/>
    <w:uiPriority w:val="0"/>
    <w:rPr>
      <w:kern w:val="2"/>
      <w:sz w:val="18"/>
      <w:szCs w:val="18"/>
    </w:rPr>
  </w:style>
  <w:style w:type="character" w:customStyle="1" w:styleId="16">
    <w:name w:val="页脚 Char"/>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2</Pages>
  <Words>2513</Words>
  <Characters>2930</Characters>
  <Lines>23</Lines>
  <Paragraphs>6</Paragraphs>
  <TotalTime>7</TotalTime>
  <ScaleCrop>false</ScaleCrop>
  <LinksUpToDate>false</LinksUpToDate>
  <CharactersWithSpaces>3129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2013-11-01T02:43:00Z</dcterms:created>
  <dc:creator>a</dc:creator>
  <cp:lastModifiedBy>帆</cp:lastModifiedBy>
  <cp:lastPrinted>2013-11-02T07:38:00Z</cp:lastPrinted>
  <dcterms:modified xsi:type="dcterms:W3CDTF">2022-05-18T03:17:02Z</dcterms:modified>
  <dc:title>DYS20代码式预付费水表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4F842A66DE104EDD96501D74D62A96DB</vt:lpwstr>
  </property>
</Properties>
</file>